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FE" w:rsidRPr="00EF4AFE" w:rsidRDefault="00FF209F" w:rsidP="00EF4AFE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Segundo parcial de Derecho y Legislación Turística (16/11</w:t>
      </w:r>
      <w:r w:rsidR="00EF4AFE" w:rsidRPr="00EF4AFE">
        <w:rPr>
          <w:rFonts w:ascii="Calibri" w:hAnsi="Calibri" w:cs="Calibri"/>
          <w:b/>
          <w:sz w:val="24"/>
        </w:rPr>
        <w:t>/2016)</w:t>
      </w:r>
    </w:p>
    <w:p w:rsidR="009C0992" w:rsidRDefault="00FF209F" w:rsidP="009C0992">
      <w:pPr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Contestar si es falso o verdadero. En caso de ser falso, fundamentar la re</w:t>
      </w:r>
      <w:r w:rsidR="009C0992">
        <w:rPr>
          <w:rFonts w:ascii="Calibri" w:hAnsi="Calibri" w:cs="Calibri"/>
        </w:rPr>
        <w:t>spuesta.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9C0992">
        <w:rPr>
          <w:rFonts w:ascii="Calibri" w:hAnsi="Calibri" w:cs="Calibri"/>
          <w:b/>
        </w:rPr>
        <w:t>1-</w:t>
      </w:r>
      <w:r>
        <w:rPr>
          <w:rFonts w:ascii="Calibri" w:hAnsi="Calibri" w:cs="Calibri"/>
        </w:rPr>
        <w:t xml:space="preserve"> </w:t>
      </w:r>
      <w:r w:rsidR="00FF209F" w:rsidRPr="009C0992">
        <w:rPr>
          <w:rFonts w:ascii="Calibri" w:hAnsi="Calibri" w:cs="Calibri"/>
        </w:rPr>
        <w:t>A los jueces de la Suprema Corte de Justicia los designa el Consejo de la Magistratura con acuerdo del senado.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9C0992">
        <w:rPr>
          <w:rFonts w:ascii="Calibri" w:hAnsi="Calibri" w:cs="Calibri"/>
          <w:b/>
        </w:rPr>
        <w:t>2-</w:t>
      </w:r>
      <w:r>
        <w:rPr>
          <w:rFonts w:ascii="Calibri" w:hAnsi="Calibri" w:cs="Calibri"/>
        </w:rPr>
        <w:t xml:space="preserve"> </w:t>
      </w:r>
      <w:r w:rsidR="00FF209F" w:rsidRPr="009C0992">
        <w:rPr>
          <w:rFonts w:ascii="Calibri" w:hAnsi="Calibri" w:cs="Calibri"/>
        </w:rPr>
        <w:t>La naturaleza jurídica de los contratos es que son actos jurídicos bilaterales.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9C0992">
        <w:rPr>
          <w:rFonts w:ascii="Calibri" w:hAnsi="Calibri" w:cs="Calibri"/>
          <w:b/>
        </w:rPr>
        <w:t>3-</w:t>
      </w:r>
      <w:r>
        <w:rPr>
          <w:rFonts w:ascii="Calibri" w:hAnsi="Calibri" w:cs="Calibri"/>
        </w:rPr>
        <w:t xml:space="preserve"> </w:t>
      </w:r>
      <w:r w:rsidR="00FF209F" w:rsidRPr="009C0992">
        <w:rPr>
          <w:rFonts w:ascii="Calibri" w:hAnsi="Calibri" w:cs="Calibri"/>
        </w:rPr>
        <w:t>El silencio importa la aceptación de la oferta y en consecuencia el contrato queda concluido.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9C0992">
        <w:rPr>
          <w:rFonts w:ascii="Calibri" w:hAnsi="Calibri" w:cs="Calibri"/>
          <w:b/>
        </w:rPr>
        <w:t>4-</w:t>
      </w:r>
      <w:r>
        <w:rPr>
          <w:rFonts w:ascii="Calibri" w:hAnsi="Calibri" w:cs="Calibri"/>
        </w:rPr>
        <w:t xml:space="preserve"> </w:t>
      </w:r>
      <w:r w:rsidR="00FF209F" w:rsidRPr="009C0992">
        <w:rPr>
          <w:rFonts w:ascii="Calibri" w:hAnsi="Calibri" w:cs="Calibri"/>
        </w:rPr>
        <w:t>Las obligaciones según su objeto se clasifican en Civiles y Naturales.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9C0992">
        <w:rPr>
          <w:rFonts w:ascii="Calibri" w:hAnsi="Calibri" w:cs="Calibri"/>
          <w:b/>
        </w:rPr>
        <w:t>5-</w:t>
      </w:r>
      <w:r>
        <w:rPr>
          <w:rFonts w:ascii="Calibri" w:hAnsi="Calibri" w:cs="Calibri"/>
        </w:rPr>
        <w:t xml:space="preserve"> </w:t>
      </w:r>
      <w:r w:rsidR="00FF209F" w:rsidRPr="009C0992">
        <w:rPr>
          <w:rFonts w:ascii="Calibri" w:hAnsi="Calibri" w:cs="Calibri"/>
        </w:rPr>
        <w:t>Los viajes de egresados son actividades formativas, integradas</w:t>
      </w:r>
      <w:r w:rsidRPr="009C0992">
        <w:rPr>
          <w:rFonts w:ascii="Calibri" w:hAnsi="Calibri" w:cs="Calibri"/>
        </w:rPr>
        <w:t xml:space="preserve"> a la propuesta curricular de la</w:t>
      </w:r>
      <w:r w:rsidR="00FF209F" w:rsidRPr="009C0992">
        <w:rPr>
          <w:rFonts w:ascii="Calibri" w:hAnsi="Calibri" w:cs="Calibri"/>
        </w:rPr>
        <w:t xml:space="preserve"> escuela, organizadas y supervisadas por las autoridades y docentes del establecimiento.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9C0992">
        <w:rPr>
          <w:rFonts w:ascii="Calibri" w:hAnsi="Calibri" w:cs="Calibri"/>
          <w:b/>
        </w:rPr>
        <w:t>6-</w:t>
      </w:r>
      <w:r>
        <w:rPr>
          <w:rFonts w:ascii="Calibri" w:hAnsi="Calibri" w:cs="Calibri"/>
        </w:rPr>
        <w:t xml:space="preserve"> </w:t>
      </w:r>
      <w:r w:rsidR="00FF209F" w:rsidRPr="009C0992">
        <w:rPr>
          <w:rFonts w:ascii="Calibri" w:hAnsi="Calibri" w:cs="Calibri"/>
        </w:rPr>
        <w:t>El acto Administrativo goza de la presunción de legalidad y ejecutoriedad.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9C0992">
        <w:rPr>
          <w:rFonts w:ascii="Calibri" w:hAnsi="Calibri" w:cs="Calibri"/>
          <w:b/>
        </w:rPr>
        <w:t>7-</w:t>
      </w:r>
      <w:r w:rsidRPr="001D5A93">
        <w:rPr>
          <w:rFonts w:ascii="Calibri" w:hAnsi="Calibri" w:cs="Calibri"/>
        </w:rPr>
        <w:t xml:space="preserve"> </w:t>
      </w:r>
      <w:r w:rsidR="00FF209F" w:rsidRPr="001D5A93">
        <w:rPr>
          <w:rFonts w:ascii="Calibri" w:hAnsi="Calibri" w:cs="Calibri"/>
        </w:rPr>
        <w:t>La p</w:t>
      </w:r>
      <w:r w:rsidR="00FF209F" w:rsidRPr="009C0992">
        <w:rPr>
          <w:rFonts w:ascii="Calibri" w:hAnsi="Calibri" w:cs="Calibri"/>
        </w:rPr>
        <w:t>érdida de chances no son indemnizables.</w:t>
      </w:r>
      <w:bookmarkStart w:id="0" w:name="_GoBack"/>
      <w:bookmarkEnd w:id="0"/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1D5A93">
        <w:rPr>
          <w:rFonts w:ascii="Calibri" w:hAnsi="Calibri" w:cs="Calibri"/>
          <w:b/>
        </w:rPr>
        <w:t xml:space="preserve">8- </w:t>
      </w:r>
      <w:r w:rsidR="00FF209F" w:rsidRPr="009C0992">
        <w:rPr>
          <w:rFonts w:ascii="Calibri" w:hAnsi="Calibri" w:cs="Calibri"/>
        </w:rPr>
        <w:t>El Consejo Provincial de Turismo emite dictámenes vinculantes.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1D5A93">
        <w:rPr>
          <w:rFonts w:ascii="Calibri" w:hAnsi="Calibri" w:cs="Calibri"/>
          <w:b/>
        </w:rPr>
        <w:t xml:space="preserve">9- </w:t>
      </w:r>
      <w:r w:rsidR="00FF209F" w:rsidRPr="009C0992">
        <w:rPr>
          <w:rFonts w:ascii="Calibri" w:hAnsi="Calibri" w:cs="Calibri"/>
        </w:rPr>
        <w:t>El Fondo de Turismo Estudiantil garantiza que el viaje se va a realizar.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1D5A93">
        <w:rPr>
          <w:rFonts w:ascii="Calibri" w:hAnsi="Calibri" w:cs="Calibri"/>
          <w:b/>
        </w:rPr>
        <w:t>10-</w:t>
      </w:r>
      <w:r>
        <w:rPr>
          <w:rFonts w:ascii="Calibri" w:hAnsi="Calibri" w:cs="Calibri"/>
        </w:rPr>
        <w:t xml:space="preserve"> </w:t>
      </w:r>
      <w:r w:rsidR="00FF209F" w:rsidRPr="009C0992">
        <w:rPr>
          <w:rFonts w:ascii="Calibri" w:hAnsi="Calibri" w:cs="Calibri"/>
        </w:rPr>
        <w:t>En el supuesto de conflicto entre dos provincias, la Corte Suprema de Justicia actúa de acuerdo a sus atribuciones originarias.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1D5A93">
        <w:rPr>
          <w:rFonts w:ascii="Calibri" w:hAnsi="Calibri" w:cs="Calibri"/>
          <w:b/>
        </w:rPr>
        <w:t>11-</w:t>
      </w:r>
      <w:r>
        <w:rPr>
          <w:rFonts w:ascii="Calibri" w:hAnsi="Calibri" w:cs="Calibri"/>
        </w:rPr>
        <w:t xml:space="preserve"> </w:t>
      </w:r>
      <w:r w:rsidR="00FF209F" w:rsidRPr="009C0992">
        <w:rPr>
          <w:rFonts w:ascii="Calibri" w:hAnsi="Calibri" w:cs="Calibri"/>
        </w:rPr>
        <w:t>Es requisito de la legítima defensa que el mal que se evita sea mayor que el daño que se causa.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1D5A93">
        <w:rPr>
          <w:rFonts w:ascii="Calibri" w:hAnsi="Calibri" w:cs="Calibri"/>
          <w:b/>
        </w:rPr>
        <w:t>12-</w:t>
      </w:r>
      <w:r>
        <w:rPr>
          <w:rFonts w:ascii="Calibri" w:hAnsi="Calibri" w:cs="Calibri"/>
        </w:rPr>
        <w:t xml:space="preserve"> </w:t>
      </w:r>
      <w:r w:rsidR="00FF209F" w:rsidRPr="009C0992">
        <w:rPr>
          <w:rFonts w:ascii="Calibri" w:hAnsi="Calibri" w:cs="Calibri"/>
        </w:rPr>
        <w:t>El transporte regular aéreo es aquel que une a dos o más puntos dentro del País.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1D5A93">
        <w:rPr>
          <w:rFonts w:ascii="Calibri" w:hAnsi="Calibri" w:cs="Calibri"/>
          <w:b/>
        </w:rPr>
        <w:t>13-</w:t>
      </w:r>
      <w:r>
        <w:rPr>
          <w:rFonts w:ascii="Calibri" w:hAnsi="Calibri" w:cs="Calibri"/>
        </w:rPr>
        <w:t xml:space="preserve"> </w:t>
      </w:r>
      <w:r w:rsidR="00FF209F" w:rsidRPr="009C0992">
        <w:rPr>
          <w:rFonts w:ascii="Calibri" w:hAnsi="Calibri" w:cs="Calibri"/>
        </w:rPr>
        <w:t>En la Ley Nacional de Turismo (LNT)</w:t>
      </w:r>
      <w:r w:rsidRPr="009C0992">
        <w:rPr>
          <w:rFonts w:ascii="Calibri" w:hAnsi="Calibri" w:cs="Calibri"/>
        </w:rPr>
        <w:t xml:space="preserve"> el Consejo Federal de Turismo es un órgano de carácter ejecutivo.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1D5A93">
        <w:rPr>
          <w:rFonts w:ascii="Calibri" w:hAnsi="Calibri" w:cs="Calibri"/>
          <w:b/>
        </w:rPr>
        <w:t>14-</w:t>
      </w:r>
      <w:r>
        <w:rPr>
          <w:rFonts w:ascii="Calibri" w:hAnsi="Calibri" w:cs="Calibri"/>
        </w:rPr>
        <w:t xml:space="preserve"> </w:t>
      </w:r>
      <w:r w:rsidRPr="009C0992">
        <w:rPr>
          <w:rFonts w:ascii="Calibri" w:hAnsi="Calibri" w:cs="Calibri"/>
        </w:rPr>
        <w:t>Las partes en un vínculo obligacional son el acreedor y el deudor.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1D5A93">
        <w:rPr>
          <w:rFonts w:ascii="Calibri" w:hAnsi="Calibri" w:cs="Calibri"/>
          <w:b/>
        </w:rPr>
        <w:t>15-</w:t>
      </w:r>
      <w:r>
        <w:rPr>
          <w:rFonts w:ascii="Calibri" w:hAnsi="Calibri" w:cs="Calibri"/>
        </w:rPr>
        <w:t xml:space="preserve"> </w:t>
      </w:r>
      <w:r w:rsidRPr="009C0992">
        <w:rPr>
          <w:rFonts w:ascii="Calibri" w:hAnsi="Calibri" w:cs="Calibri"/>
        </w:rPr>
        <w:t>Las obligaciones de medio son aquellas donde el deudor se obliga a un resultado determinado.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1D5A93">
        <w:rPr>
          <w:rFonts w:ascii="Calibri" w:hAnsi="Calibri" w:cs="Calibri"/>
          <w:b/>
        </w:rPr>
        <w:t>16-</w:t>
      </w:r>
      <w:r>
        <w:rPr>
          <w:rFonts w:ascii="Calibri" w:hAnsi="Calibri" w:cs="Calibri"/>
        </w:rPr>
        <w:t xml:space="preserve"> </w:t>
      </w:r>
      <w:r w:rsidRPr="009C0992">
        <w:rPr>
          <w:rFonts w:ascii="Calibri" w:hAnsi="Calibri" w:cs="Calibri"/>
        </w:rPr>
        <w:t>La Ley Provincial de Turismo (LPT), determina que la emergencia turística se produce cuando un hecho afecta al 80% de la prestación turística.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1D5A93">
        <w:rPr>
          <w:rFonts w:ascii="Calibri" w:hAnsi="Calibri" w:cs="Calibri"/>
          <w:b/>
        </w:rPr>
        <w:t>17-</w:t>
      </w:r>
      <w:r>
        <w:rPr>
          <w:rFonts w:ascii="Calibri" w:hAnsi="Calibri" w:cs="Calibri"/>
        </w:rPr>
        <w:t xml:space="preserve"> </w:t>
      </w:r>
      <w:r w:rsidRPr="009C0992">
        <w:rPr>
          <w:rFonts w:ascii="Calibri" w:hAnsi="Calibri" w:cs="Calibri"/>
        </w:rPr>
        <w:t>La LPT delega en los gobiernos municipales la construcción de caminos y acceso a zonas turísticas.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1D5A93">
        <w:rPr>
          <w:rFonts w:ascii="Calibri" w:hAnsi="Calibri" w:cs="Calibri"/>
          <w:b/>
        </w:rPr>
        <w:t>18-</w:t>
      </w:r>
      <w:r>
        <w:rPr>
          <w:rFonts w:ascii="Calibri" w:hAnsi="Calibri" w:cs="Calibri"/>
        </w:rPr>
        <w:t xml:space="preserve"> </w:t>
      </w:r>
      <w:r w:rsidRPr="009C0992">
        <w:rPr>
          <w:rFonts w:ascii="Calibri" w:hAnsi="Calibri" w:cs="Calibri"/>
        </w:rPr>
        <w:t>Las obligaciones son de género si recaen sobre cosas determinadas por su especie y cantidad.</w:t>
      </w:r>
    </w:p>
    <w:p w:rsid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1D5A93">
        <w:rPr>
          <w:rFonts w:ascii="Calibri" w:hAnsi="Calibri" w:cs="Calibri"/>
          <w:b/>
        </w:rPr>
        <w:t>19-</w:t>
      </w:r>
      <w:r>
        <w:rPr>
          <w:rFonts w:ascii="Calibri" w:hAnsi="Calibri" w:cs="Calibri"/>
        </w:rPr>
        <w:t xml:space="preserve"> </w:t>
      </w:r>
      <w:r w:rsidRPr="009C0992">
        <w:rPr>
          <w:rFonts w:ascii="Calibri" w:hAnsi="Calibri" w:cs="Calibri"/>
        </w:rPr>
        <w:t>En un contrato de consumo, el consumidor a distancia tiene la facultad de revocar la aceptación dentro de los diez días a partir de la celebración del contrato.</w:t>
      </w:r>
    </w:p>
    <w:p w:rsidR="009C0992" w:rsidRPr="009C0992" w:rsidRDefault="009C0992" w:rsidP="009C0992">
      <w:pPr>
        <w:ind w:firstLine="567"/>
        <w:jc w:val="both"/>
        <w:rPr>
          <w:rFonts w:ascii="Calibri" w:hAnsi="Calibri" w:cs="Calibri"/>
        </w:rPr>
      </w:pPr>
      <w:r w:rsidRPr="001D5A93">
        <w:rPr>
          <w:rFonts w:ascii="Calibri" w:hAnsi="Calibri" w:cs="Calibri"/>
          <w:b/>
        </w:rPr>
        <w:t>20-</w:t>
      </w:r>
      <w:r>
        <w:rPr>
          <w:rFonts w:ascii="Calibri" w:hAnsi="Calibri" w:cs="Calibri"/>
        </w:rPr>
        <w:t xml:space="preserve"> </w:t>
      </w:r>
      <w:r w:rsidRPr="009C0992">
        <w:rPr>
          <w:rFonts w:ascii="Calibri" w:hAnsi="Calibri" w:cs="Calibri"/>
        </w:rPr>
        <w:t>El Convenio de Bruselas sobre contrato de viaje, establece límites económicos para las indemnizaciones.</w:t>
      </w:r>
    </w:p>
    <w:p w:rsidR="009C0992" w:rsidRPr="00FF209F" w:rsidRDefault="009C0992" w:rsidP="009C0992">
      <w:pPr>
        <w:pStyle w:val="Prrafodelista"/>
        <w:ind w:left="426"/>
        <w:jc w:val="both"/>
        <w:rPr>
          <w:rFonts w:ascii="Calibri" w:hAnsi="Calibri" w:cs="Calibri"/>
        </w:rPr>
      </w:pPr>
    </w:p>
    <w:sectPr w:rsidR="009C0992" w:rsidRPr="00FF209F" w:rsidSect="00EF4AFE">
      <w:headerReference w:type="default" r:id="rId8"/>
      <w:footerReference w:type="default" r:id="rId9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67" w:rsidRDefault="006B2C67" w:rsidP="006B2C67">
      <w:pPr>
        <w:spacing w:after="0" w:line="240" w:lineRule="auto"/>
      </w:pPr>
      <w:r>
        <w:separator/>
      </w:r>
    </w:p>
  </w:endnote>
  <w:endnote w:type="continuationSeparator" w:id="0">
    <w:p w:rsidR="006B2C67" w:rsidRDefault="006B2C67" w:rsidP="006B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sha">
    <w:altName w:val="Malgun Gothic Semilight"/>
    <w:panose1 w:val="020B0502040204020203"/>
    <w:charset w:val="00"/>
    <w:family w:val="swiss"/>
    <w:pitch w:val="variable"/>
    <w:sig w:usb0="00000000" w:usb1="40000042" w:usb2="00000000" w:usb3="00000000" w:csb0="00000021" w:csb1="00000000"/>
  </w:font>
  <w:font w:name="Argentina Negra Cursiva">
    <w:panose1 w:val="00000000000000000000"/>
    <w:charset w:val="00"/>
    <w:family w:val="modern"/>
    <w:notTrueType/>
    <w:pitch w:val="variable"/>
    <w:sig w:usb0="8000002F" w:usb1="50000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67" w:rsidRPr="006B2C67" w:rsidRDefault="006B2C67">
    <w:pPr>
      <w:pStyle w:val="Piedepgina"/>
      <w:rPr>
        <w:rFonts w:ascii="Calibri" w:hAnsi="Calibri" w:cs="Calibri"/>
      </w:rPr>
    </w:pPr>
    <w:r>
      <w:tab/>
    </w:r>
    <w:r>
      <w:tab/>
    </w:r>
    <w:r w:rsidRPr="006B2C67">
      <w:rPr>
        <w:rFonts w:ascii="Calibri" w:hAnsi="Calibri" w:cs="Calibri"/>
      </w:rPr>
      <w:fldChar w:fldCharType="begin"/>
    </w:r>
    <w:r w:rsidRPr="006B2C67">
      <w:rPr>
        <w:rFonts w:ascii="Calibri" w:hAnsi="Calibri" w:cs="Calibri"/>
      </w:rPr>
      <w:instrText>PAGE   \* MERGEFORMAT</w:instrText>
    </w:r>
    <w:r w:rsidRPr="006B2C67">
      <w:rPr>
        <w:rFonts w:ascii="Calibri" w:hAnsi="Calibri" w:cs="Calibri"/>
      </w:rPr>
      <w:fldChar w:fldCharType="separate"/>
    </w:r>
    <w:r w:rsidR="001D5A93" w:rsidRPr="001D5A93">
      <w:rPr>
        <w:rFonts w:ascii="Calibri" w:hAnsi="Calibri" w:cs="Calibri"/>
        <w:noProof/>
        <w:lang w:val="es-ES"/>
      </w:rPr>
      <w:t>1</w:t>
    </w:r>
    <w:r w:rsidRPr="006B2C67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67" w:rsidRDefault="006B2C67" w:rsidP="006B2C67">
      <w:pPr>
        <w:spacing w:after="0" w:line="240" w:lineRule="auto"/>
      </w:pPr>
      <w:r>
        <w:separator/>
      </w:r>
    </w:p>
  </w:footnote>
  <w:footnote w:type="continuationSeparator" w:id="0">
    <w:p w:rsidR="006B2C67" w:rsidRDefault="006B2C67" w:rsidP="006B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67" w:rsidRPr="006B2C67" w:rsidRDefault="006B2C67" w:rsidP="006B2C67">
    <w:pPr>
      <w:pStyle w:val="Encabezado"/>
      <w:rPr>
        <w:rFonts w:ascii="Calibri" w:hAnsi="Calibri" w:cs="Calibri"/>
      </w:rPr>
    </w:pPr>
    <w:r w:rsidRPr="006B2C67">
      <w:rPr>
        <w:rFonts w:ascii="Calibri" w:hAnsi="Calibri" w:cs="Calibri"/>
      </w:rPr>
      <w:t>Simón Pla García</w:t>
    </w:r>
    <w:r w:rsidRPr="006B2C67">
      <w:rPr>
        <w:rFonts w:ascii="Calibri" w:hAnsi="Calibri" w:cs="Calibri"/>
      </w:rPr>
      <w:tab/>
    </w:r>
    <w:r w:rsidRPr="006B2C67">
      <w:rPr>
        <w:rFonts w:ascii="Calibri" w:hAnsi="Calibri" w:cs="Calibri"/>
      </w:rPr>
      <w:tab/>
      <w:t xml:space="preserve">Lic. </w:t>
    </w:r>
    <w:proofErr w:type="gramStart"/>
    <w:r w:rsidRPr="006B2C67">
      <w:rPr>
        <w:rFonts w:ascii="Calibri" w:hAnsi="Calibri" w:cs="Calibri"/>
      </w:rPr>
      <w:t>en</w:t>
    </w:r>
    <w:proofErr w:type="gramEnd"/>
    <w:r w:rsidRPr="006B2C67">
      <w:rPr>
        <w:rFonts w:ascii="Calibri" w:hAnsi="Calibri" w:cs="Calibri"/>
      </w:rPr>
      <w:t xml:space="preserve"> Turismo</w:t>
    </w:r>
  </w:p>
  <w:p w:rsidR="006B2C67" w:rsidRDefault="006B2C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089E"/>
    <w:multiLevelType w:val="hybridMultilevel"/>
    <w:tmpl w:val="18CCB77E"/>
    <w:lvl w:ilvl="0" w:tplc="C8CA82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1643B"/>
    <w:multiLevelType w:val="hybridMultilevel"/>
    <w:tmpl w:val="66960534"/>
    <w:lvl w:ilvl="0" w:tplc="B8984C6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BF682E"/>
    <w:multiLevelType w:val="hybridMultilevel"/>
    <w:tmpl w:val="E5188E64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7F53FE"/>
    <w:multiLevelType w:val="hybridMultilevel"/>
    <w:tmpl w:val="877E9236"/>
    <w:lvl w:ilvl="0" w:tplc="FF24ABC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66" w:hanging="360"/>
      </w:pPr>
    </w:lvl>
    <w:lvl w:ilvl="2" w:tplc="2C0A001B" w:tentative="1">
      <w:start w:val="1"/>
      <w:numFmt w:val="lowerRoman"/>
      <w:lvlText w:val="%3."/>
      <w:lvlJc w:val="right"/>
      <w:pPr>
        <w:ind w:left="2586" w:hanging="180"/>
      </w:pPr>
    </w:lvl>
    <w:lvl w:ilvl="3" w:tplc="2C0A000F" w:tentative="1">
      <w:start w:val="1"/>
      <w:numFmt w:val="decimal"/>
      <w:lvlText w:val="%4."/>
      <w:lvlJc w:val="left"/>
      <w:pPr>
        <w:ind w:left="3306" w:hanging="360"/>
      </w:pPr>
    </w:lvl>
    <w:lvl w:ilvl="4" w:tplc="2C0A0019" w:tentative="1">
      <w:start w:val="1"/>
      <w:numFmt w:val="lowerLetter"/>
      <w:lvlText w:val="%5."/>
      <w:lvlJc w:val="left"/>
      <w:pPr>
        <w:ind w:left="4026" w:hanging="360"/>
      </w:pPr>
    </w:lvl>
    <w:lvl w:ilvl="5" w:tplc="2C0A001B" w:tentative="1">
      <w:start w:val="1"/>
      <w:numFmt w:val="lowerRoman"/>
      <w:lvlText w:val="%6."/>
      <w:lvlJc w:val="right"/>
      <w:pPr>
        <w:ind w:left="4746" w:hanging="180"/>
      </w:pPr>
    </w:lvl>
    <w:lvl w:ilvl="6" w:tplc="2C0A000F" w:tentative="1">
      <w:start w:val="1"/>
      <w:numFmt w:val="decimal"/>
      <w:lvlText w:val="%7."/>
      <w:lvlJc w:val="left"/>
      <w:pPr>
        <w:ind w:left="5466" w:hanging="360"/>
      </w:pPr>
    </w:lvl>
    <w:lvl w:ilvl="7" w:tplc="2C0A0019" w:tentative="1">
      <w:start w:val="1"/>
      <w:numFmt w:val="lowerLetter"/>
      <w:lvlText w:val="%8."/>
      <w:lvlJc w:val="left"/>
      <w:pPr>
        <w:ind w:left="6186" w:hanging="360"/>
      </w:pPr>
    </w:lvl>
    <w:lvl w:ilvl="8" w:tplc="2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667082F"/>
    <w:multiLevelType w:val="hybridMultilevel"/>
    <w:tmpl w:val="C36817C2"/>
    <w:lvl w:ilvl="0" w:tplc="7F6CBA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685A1A"/>
    <w:multiLevelType w:val="hybridMultilevel"/>
    <w:tmpl w:val="39B645C0"/>
    <w:lvl w:ilvl="0" w:tplc="B46E500C">
      <w:start w:val="2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CA3654"/>
    <w:multiLevelType w:val="hybridMultilevel"/>
    <w:tmpl w:val="6F6E5518"/>
    <w:lvl w:ilvl="0" w:tplc="1142837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1C2689"/>
    <w:multiLevelType w:val="hybridMultilevel"/>
    <w:tmpl w:val="65DE7D1C"/>
    <w:lvl w:ilvl="0" w:tplc="5844BCEE">
      <w:start w:val="5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2A0F91"/>
    <w:multiLevelType w:val="hybridMultilevel"/>
    <w:tmpl w:val="1F7A0246"/>
    <w:lvl w:ilvl="0" w:tplc="D2DE2B0E">
      <w:start w:val="1"/>
      <w:numFmt w:val="decimal"/>
      <w:lvlText w:val="%1-"/>
      <w:lvlJc w:val="left"/>
      <w:pPr>
        <w:ind w:left="1362" w:hanging="79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99164E"/>
    <w:multiLevelType w:val="hybridMultilevel"/>
    <w:tmpl w:val="ECF4D32E"/>
    <w:lvl w:ilvl="0" w:tplc="11A8A0F2">
      <w:start w:val="1"/>
      <w:numFmt w:val="decimal"/>
      <w:lvlText w:val="%1-"/>
      <w:lvlJc w:val="left"/>
      <w:pPr>
        <w:ind w:left="786" w:hanging="360"/>
      </w:pPr>
      <w:rPr>
        <w:rFonts w:ascii="Calibri" w:eastAsiaTheme="minorHAnsi" w:hAnsi="Calibri" w:cs="Calibri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8A471FF"/>
    <w:multiLevelType w:val="hybridMultilevel"/>
    <w:tmpl w:val="143A4E86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E9C0AEF"/>
    <w:multiLevelType w:val="hybridMultilevel"/>
    <w:tmpl w:val="4DCE2876"/>
    <w:lvl w:ilvl="0" w:tplc="C9C8AC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B725E3"/>
    <w:multiLevelType w:val="hybridMultilevel"/>
    <w:tmpl w:val="77F45DBA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8864CD8"/>
    <w:multiLevelType w:val="hybridMultilevel"/>
    <w:tmpl w:val="3816F0F4"/>
    <w:lvl w:ilvl="0" w:tplc="6750E684">
      <w:start w:val="1"/>
      <w:numFmt w:val="decimal"/>
      <w:lvlText w:val="%1)"/>
      <w:lvlJc w:val="left"/>
      <w:pPr>
        <w:ind w:left="786" w:hanging="360"/>
      </w:pPr>
      <w:rPr>
        <w:rFonts w:ascii="Calibri" w:eastAsiaTheme="minorHAnsi" w:hAnsi="Calibri" w:cs="Calibri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6444C1"/>
    <w:multiLevelType w:val="hybridMultilevel"/>
    <w:tmpl w:val="D4F07C3C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9061E1"/>
    <w:multiLevelType w:val="hybridMultilevel"/>
    <w:tmpl w:val="48F8EA3C"/>
    <w:lvl w:ilvl="0" w:tplc="7B20E44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AD1269"/>
    <w:multiLevelType w:val="hybridMultilevel"/>
    <w:tmpl w:val="C770C7B8"/>
    <w:lvl w:ilvl="0" w:tplc="51F44D1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4"/>
  </w:num>
  <w:num w:numId="5">
    <w:abstractNumId w:val="11"/>
  </w:num>
  <w:num w:numId="6">
    <w:abstractNumId w:val="2"/>
  </w:num>
  <w:num w:numId="7">
    <w:abstractNumId w:val="12"/>
  </w:num>
  <w:num w:numId="8">
    <w:abstractNumId w:val="1"/>
  </w:num>
  <w:num w:numId="9">
    <w:abstractNumId w:val="15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16"/>
  </w:num>
  <w:num w:numId="15">
    <w:abstractNumId w:val="5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FE"/>
    <w:rsid w:val="001D5A93"/>
    <w:rsid w:val="003869CA"/>
    <w:rsid w:val="00503F64"/>
    <w:rsid w:val="005340E3"/>
    <w:rsid w:val="006B2C67"/>
    <w:rsid w:val="008A49D2"/>
    <w:rsid w:val="00930967"/>
    <w:rsid w:val="009C0992"/>
    <w:rsid w:val="00B57BA9"/>
    <w:rsid w:val="00D466B6"/>
    <w:rsid w:val="00EF4AFE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9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C67"/>
  </w:style>
  <w:style w:type="paragraph" w:styleId="Piedepgina">
    <w:name w:val="footer"/>
    <w:basedOn w:val="Normal"/>
    <w:link w:val="PiedepginaCar"/>
    <w:uiPriority w:val="99"/>
    <w:unhideWhenUsed/>
    <w:rsid w:val="006B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9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5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C67"/>
  </w:style>
  <w:style w:type="paragraph" w:styleId="Piedepgina">
    <w:name w:val="footer"/>
    <w:basedOn w:val="Normal"/>
    <w:link w:val="PiedepginaCar"/>
    <w:uiPriority w:val="99"/>
    <w:unhideWhenUsed/>
    <w:rsid w:val="006B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Argentina Negra Cursiva"/>
        <a:ea typeface=""/>
        <a:cs typeface=""/>
      </a:majorFont>
      <a:minorFont>
        <a:latin typeface="Gish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Pasantes</dc:creator>
  <cp:lastModifiedBy>Simón Pla García</cp:lastModifiedBy>
  <cp:revision>2</cp:revision>
  <dcterms:created xsi:type="dcterms:W3CDTF">2016-11-17T02:20:00Z</dcterms:created>
  <dcterms:modified xsi:type="dcterms:W3CDTF">2016-11-17T02:20:00Z</dcterms:modified>
</cp:coreProperties>
</file>