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PRIMER RECUPERATORIO PROBLEMAS DEL CONOCIMIENTO HISTÓRICO</w:t>
      </w:r>
    </w:p>
    <w:p w:rsidR="00000000" w:rsidDel="00000000" w:rsidP="00000000" w:rsidRDefault="00000000" w:rsidRPr="00000000" w14:paraId="00000002">
      <w:pPr>
        <w:jc w:val="both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FECHA: 16 DE JUNIO DE 2020</w:t>
      </w:r>
    </w:p>
    <w:p w:rsidR="00000000" w:rsidDel="00000000" w:rsidP="00000000" w:rsidRDefault="00000000" w:rsidRPr="00000000" w14:paraId="00000003">
      <w:pPr>
        <w:jc w:val="both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APELLIDO Y NOMBRE:</w:t>
      </w:r>
    </w:p>
    <w:p w:rsidR="00000000" w:rsidDel="00000000" w:rsidP="00000000" w:rsidRDefault="00000000" w:rsidRPr="00000000" w14:paraId="00000004">
      <w:pPr>
        <w:jc w:val="both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 Narrow" w:cs="Arial Narrow" w:eastAsia="Arial Narrow" w:hAnsi="Arial Narrow"/>
          <w:i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8"/>
          <w:szCs w:val="28"/>
          <w:rtl w:val="0"/>
        </w:rPr>
        <w:t xml:space="preserve">Pregunta 1:  Textos introductorios   Responder como verdadero o falso (más de una opción)</w:t>
      </w:r>
      <w:r w:rsidDel="00000000" w:rsidR="00000000" w:rsidRPr="00000000">
        <w:rPr>
          <w:rFonts w:ascii="Arial Narrow" w:cs="Arial Narrow" w:eastAsia="Arial Narrow" w:hAnsi="Arial Narrow"/>
          <w:i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 la película “Coco”,  vemos como en la Historia, la comunicación del mundo de los vivos con el de los muertos.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película “Coco” tiene por única finalidad mostrar la importancia de la comunidad mexicana en los Estados 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Unidos.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Según Fontana,  la historia de los hombres debe comprender solamente la historia de la gente principal.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Según Fontana, en Norteamérica, la idea del “fin de la historia”  ha colaborado a sostener ideológicamente el neoliberalismo.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ida al archivo, para Michelet, permite al historiador exhumar personajes hasta entonces olvidados.</w:t>
      </w:r>
    </w:p>
    <w:p w:rsidR="00000000" w:rsidDel="00000000" w:rsidP="00000000" w:rsidRDefault="00000000" w:rsidRPr="00000000" w14:paraId="0000000B">
      <w:pPr>
        <w:jc w:val="right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 </w:t>
        <w:br w:type="textWrapping"/>
      </w: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Escala: 0,50  puntos</w:t>
      </w:r>
    </w:p>
    <w:p w:rsidR="00000000" w:rsidDel="00000000" w:rsidP="00000000" w:rsidRDefault="00000000" w:rsidRPr="00000000" w14:paraId="0000000C">
      <w:pPr>
        <w:jc w:val="both"/>
        <w:rPr>
          <w:rFonts w:ascii="Arial Narrow" w:cs="Arial Narrow" w:eastAsia="Arial Narrow" w:hAnsi="Arial Narrow"/>
          <w:b w:val="1"/>
          <w:i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8"/>
          <w:szCs w:val="28"/>
          <w:rtl w:val="0"/>
        </w:rPr>
        <w:t xml:space="preserve">Pregunta 2   Elige las opciones correctas (puede haber más de una).  Selecciona dos (2) y justifícalas.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360"/>
        <w:jc w:val="both"/>
        <w:rPr>
          <w:rFonts w:ascii="Arial Narrow" w:cs="Arial Narrow" w:eastAsia="Arial Narrow" w:hAnsi="Arial Narrow"/>
          <w:i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Cuando hablamos de Historia y Memoria vemos que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firstLine="719.9999999999999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L</w:t>
      </w:r>
      <w:r w:rsidDel="00000000" w:rsidR="00000000" w:rsidRPr="00000000"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memoria es emocional y mágica;  a la historia sólo le interesan las cosas muertas.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firstLine="719.9999999999999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Para Carretero,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escuela y la historia escolar han colaborado en la formación de naciones  en América Latina. Eso se mantiene aún con el neoliberalismo.   </w:t>
      </w:r>
    </w:p>
    <w:p w:rsidR="00000000" w:rsidDel="00000000" w:rsidP="00000000" w:rsidRDefault="00000000" w:rsidRPr="00000000" w14:paraId="00000010">
      <w:pPr>
        <w:jc w:val="both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360"/>
        <w:jc w:val="both"/>
        <w:rPr>
          <w:rFonts w:ascii="Arial Narrow" w:cs="Arial Narrow" w:eastAsia="Arial Narrow" w:hAnsi="Arial Narrow"/>
          <w:i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Sobre los usos de la  memoria: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Para Rémond, los soldados sólo recuerdan su guerra.  La transmisión es difícil inmediatamente después de ocurrido el acontecimiento traumático.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Ricoeur incluye la amnistía o indulto entre las políticas de la memoria.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Para Schnapper Francia el ocultamiento de la Historia continuó también en la guerra colonial de Argelia.   </w:t>
      </w:r>
    </w:p>
    <w:p w:rsidR="00000000" w:rsidDel="00000000" w:rsidP="00000000" w:rsidRDefault="00000000" w:rsidRPr="00000000" w14:paraId="00000015">
      <w:pPr>
        <w:jc w:val="both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360"/>
        <w:jc w:val="both"/>
        <w:rPr>
          <w:rFonts w:ascii="Arial Narrow" w:cs="Arial Narrow" w:eastAsia="Arial Narrow" w:hAnsi="Arial Narrow"/>
          <w:i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Sobre patrimonio y lugares de la memoria.  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2" w:right="0" w:hanging="360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Cuando hablamos de patrimonio incluimos elementos materiales e inmateriales.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2" w:right="0" w:hanging="360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Los lugares de la memoria son unidades de sentido simbólico, marcas en el pasado elegidas por las sociedades.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2" w:right="0" w:hanging="360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 la película 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Una vida iluminada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encontramos ejemplos de monumentos y lugares de la memoria.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2" w:right="0" w:hanging="360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“Plaza del Monumento invisible” es ejemplo de contramonumento. </w:t>
      </w:r>
    </w:p>
    <w:p w:rsidR="00000000" w:rsidDel="00000000" w:rsidP="00000000" w:rsidRDefault="00000000" w:rsidRPr="00000000" w14:paraId="0000001B">
      <w:pPr>
        <w:ind w:left="432" w:firstLine="0"/>
        <w:jc w:val="right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Escala:   1 punto</w:t>
      </w:r>
    </w:p>
    <w:p w:rsidR="00000000" w:rsidDel="00000000" w:rsidP="00000000" w:rsidRDefault="00000000" w:rsidRPr="00000000" w14:paraId="0000001C">
      <w:pPr>
        <w:ind w:left="432" w:firstLine="0"/>
        <w:jc w:val="right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 Narrow" w:cs="Arial Narrow" w:eastAsia="Arial Narrow" w:hAnsi="Arial Narrow"/>
          <w:b w:val="1"/>
          <w:i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8"/>
          <w:szCs w:val="28"/>
          <w:rtl w:val="0"/>
        </w:rPr>
        <w:t xml:space="preserve">Pregunta 3: Completar con respuesta breves ampliando la información: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360"/>
        <w:jc w:val="both"/>
        <w:rPr>
          <w:rFonts w:ascii="Arial Narrow" w:cs="Arial Narrow" w:eastAsia="Arial Narrow" w:hAnsi="Arial Narrow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Los relatos de Vial Correa y Salazar y Grez en Chile enfrentan dos comunidades profesionales y están dirigidas a públicos diferentes.  Ambas fueron elaboradas en coyunturas distintas.    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firstLine="0"/>
        <w:jc w:val="both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firstLine="0"/>
        <w:jc w:val="both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360"/>
        <w:jc w:val="both"/>
        <w:rPr>
          <w:rFonts w:ascii="Arial Narrow" w:cs="Arial Narrow" w:eastAsia="Arial Narrow" w:hAnsi="Arial Narrow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Después de la caída de las Torres gemelas se dijo “Todos somos americanos”, pero nadie dijo “Todos somos Tutisi” (Traverso)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firstLine="0"/>
        <w:jc w:val="both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firstLine="0"/>
        <w:jc w:val="both"/>
        <w:rPr>
          <w:rFonts w:ascii="Arial Narrow" w:cs="Arial Narrow" w:eastAsia="Arial Narrow" w:hAnsi="Arial Narrow"/>
          <w:b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360"/>
        <w:jc w:val="both"/>
        <w:rPr>
          <w:rFonts w:ascii="Arial Narrow" w:cs="Arial Narrow" w:eastAsia="Arial Narrow" w:hAnsi="Arial Narrow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Para Traverso los historiadores tienen una importante participación en los juicios por los “crímenes de lesa humanidad”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firstLine="0"/>
        <w:jc w:val="both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firstLine="0"/>
        <w:jc w:val="both"/>
        <w:rPr>
          <w:rFonts w:ascii="Arial Narrow" w:cs="Arial Narrow" w:eastAsia="Arial Narrow" w:hAnsi="Arial Narrow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360"/>
        <w:jc w:val="both"/>
        <w:rPr>
          <w:rFonts w:ascii="Arial Narrow" w:cs="Arial Narrow" w:eastAsia="Arial Narrow" w:hAnsi="Arial Narrow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Para Traverso, la memoria acerca del Holocausto judío pasó por tres procesos, uno de los cuales ve la luz con el juicio a Eichman.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firstLine="0"/>
        <w:jc w:val="both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360"/>
        <w:jc w:val="both"/>
        <w:rPr>
          <w:rFonts w:ascii="Arial Narrow" w:cs="Arial Narrow" w:eastAsia="Arial Narrow" w:hAnsi="Arial Narrow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Para Traverso,  las políticas de la memoria de España y Chile  con respecto a sus dictaduras, fueron opuestas a las de la Argentina. 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firstLine="0"/>
        <w:jc w:val="both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firstLine="0"/>
        <w:jc w:val="both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360"/>
        <w:jc w:val="both"/>
        <w:rPr>
          <w:rFonts w:ascii="Arial Narrow" w:cs="Arial Narrow" w:eastAsia="Arial Narrow" w:hAnsi="Arial Narrow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En la película “Una vida iluminada”  temas como  la amnesia, el archivo, la identidad tienen una representación específica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firstLine="0"/>
        <w:jc w:val="both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right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Escala: 1,50 puntos </w:t>
      </w:r>
    </w:p>
    <w:p w:rsidR="00000000" w:rsidDel="00000000" w:rsidP="00000000" w:rsidRDefault="00000000" w:rsidRPr="00000000" w14:paraId="0000002F">
      <w:pPr>
        <w:jc w:val="both"/>
        <w:rPr>
          <w:rFonts w:ascii="Arial Narrow" w:cs="Arial Narrow" w:eastAsia="Arial Narrow" w:hAnsi="Arial Narrow"/>
          <w:b w:val="1"/>
          <w:i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8"/>
          <w:szCs w:val="28"/>
          <w:rtl w:val="0"/>
        </w:rPr>
        <w:t xml:space="preserve">Pregunta 4:    Elige  las opciones correctas (puede haber más de una en cada ítem).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360"/>
        <w:jc w:val="both"/>
        <w:rPr>
          <w:rFonts w:ascii="Arial Narrow" w:cs="Arial Narrow" w:eastAsia="Arial Narrow" w:hAnsi="Arial Narrow"/>
          <w:i w:val="1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Con su libro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70c0"/>
          <w:sz w:val="28"/>
          <w:szCs w:val="28"/>
          <w:u w:val="single"/>
          <w:shd w:fill="auto" w:val="clear"/>
          <w:vertAlign w:val="baseline"/>
          <w:rtl w:val="0"/>
        </w:rPr>
        <w:t xml:space="preserve">Apología al trabajo del historiador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MARC BLOC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 quiere responder  (completar nombre)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13" w:right="0" w:hanging="360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 resto de los historiadores  para reforzar su autonomía profesional y pedir su solidaridad.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13" w:right="0" w:hanging="360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 escribe a la sociedad francesa en medio de la II Guerra Mundial</w:t>
      </w:r>
    </w:p>
    <w:p w:rsidR="00000000" w:rsidDel="00000000" w:rsidP="00000000" w:rsidRDefault="00000000" w:rsidRPr="00000000" w14:paraId="00000033">
      <w:pPr>
        <w:jc w:val="both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360"/>
        <w:jc w:val="both"/>
        <w:rPr>
          <w:rFonts w:ascii="Arial Narrow" w:cs="Arial Narrow" w:eastAsia="Arial Narrow" w:hAnsi="Arial Narrow"/>
          <w:i w:val="1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Para  Weber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El científico social, entre ellos el historiador, están insertos  en el aparato burocrático del Estado.   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El historiador  sólo responde a las demandas del gobierno que orienta los temas que investiga </w:t>
      </w:r>
    </w:p>
    <w:p w:rsidR="00000000" w:rsidDel="00000000" w:rsidP="00000000" w:rsidRDefault="00000000" w:rsidRPr="00000000" w14:paraId="00000037">
      <w:pPr>
        <w:jc w:val="both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0" w:hanging="360"/>
        <w:jc w:val="both"/>
        <w:rPr>
          <w:rFonts w:ascii="Arial Narrow" w:cs="Arial Narrow" w:eastAsia="Arial Narrow" w:hAnsi="Arial Narrow"/>
          <w:i w:val="1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La profesionalización de la  Historia y el historiador en Francia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3" w:right="0" w:hanging="360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 promovida por todos los presidentes de la III República como instrumento de propaganda nacionalizadora.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3" w:right="0" w:hanging="360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Toman su modelo de otras naciones europeas, menos de su enemigo principal: Alemania.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3" w:right="0" w:hanging="360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influencia  de sus maestros- ciudadanos llega a todos los  niveles de educación.  Lavisse fue autor de la Historia de Francia y de la reforma del sistema superior de enseñanza.</w:t>
      </w:r>
    </w:p>
    <w:p w:rsidR="00000000" w:rsidDel="00000000" w:rsidP="00000000" w:rsidRDefault="00000000" w:rsidRPr="00000000" w14:paraId="0000003C">
      <w:pPr>
        <w:jc w:val="right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Escala:  1  punto 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Arial Narrow" w:cs="Arial Narrow" w:eastAsia="Arial Narrow" w:hAnsi="Arial Narrow"/>
          <w:b w:val="1"/>
          <w:i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8"/>
          <w:szCs w:val="28"/>
          <w:rtl w:val="0"/>
        </w:rPr>
        <w:t xml:space="preserve">Pregunta 5:  Completa el siguiente cuadro comparativo: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8.0" w:type="dxa"/>
        <w:jc w:val="left"/>
        <w:tblInd w:w="0.0" w:type="dxa"/>
        <w:tblLayout w:type="fixed"/>
        <w:tblLook w:val="0400"/>
      </w:tblPr>
      <w:tblGrid>
        <w:gridCol w:w="2881"/>
        <w:gridCol w:w="3361"/>
        <w:gridCol w:w="3676"/>
        <w:gridCol w:w="10"/>
        <w:tblGridChange w:id="0">
          <w:tblGrid>
            <w:gridCol w:w="2881"/>
            <w:gridCol w:w="3361"/>
            <w:gridCol w:w="3676"/>
            <w:gridCol w:w="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spacing w:line="256" w:lineRule="auto"/>
              <w:jc w:val="both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spacing w:line="256" w:lineRule="auto"/>
              <w:jc w:val="center"/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  <w:rtl w:val="0"/>
              </w:rPr>
              <w:t xml:space="preserve">Escuela metódica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56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  <w:rtl w:val="0"/>
              </w:rPr>
              <w:t xml:space="preserve">Annales  (1ª  generación)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spacing w:line="256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Actores y  protagonistas  que aparecen en sus relatos</w:t>
            </w:r>
          </w:p>
          <w:p w:rsidR="00000000" w:rsidDel="00000000" w:rsidP="00000000" w:rsidRDefault="00000000" w:rsidRPr="00000000" w14:paraId="00000044">
            <w:pPr>
              <w:spacing w:line="256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spacing w:line="256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Seignobos, Lavisse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56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Bloch, Febvre, Braudel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spacing w:line="256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Temas y campos de la historia que frecuentan</w:t>
            </w:r>
          </w:p>
          <w:p w:rsidR="00000000" w:rsidDel="00000000" w:rsidP="00000000" w:rsidRDefault="00000000" w:rsidRPr="00000000" w14:paraId="00000049">
            <w:pPr>
              <w:spacing w:line="256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spacing w:line="256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La política militar y la diplomacia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line="256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Abarca lo más posible o todo, es la historia total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spacing w:line="256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Contextos y acontecimientos que las influyen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spacing w:line="256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La guerra Franco-Prusiana. La primera guerra mundial. La crisis internacional de 1929.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56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Régimen de Vichy.</w:t>
            </w:r>
          </w:p>
        </w:tc>
      </w:tr>
    </w:tbl>
    <w:p w:rsidR="00000000" w:rsidDel="00000000" w:rsidP="00000000" w:rsidRDefault="00000000" w:rsidRPr="00000000" w14:paraId="0000004F">
      <w:pPr>
        <w:jc w:val="right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br w:type="textWrapping"/>
        <w:t xml:space="preserve">Escala:  1  puntos</w:t>
      </w:r>
    </w:p>
    <w:p w:rsidR="00000000" w:rsidDel="00000000" w:rsidP="00000000" w:rsidRDefault="00000000" w:rsidRPr="00000000" w14:paraId="00000050">
      <w:pPr>
        <w:jc w:val="right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8"/>
          <w:szCs w:val="28"/>
          <w:rtl w:val="0"/>
        </w:rPr>
        <w:t xml:space="preserve">Pregunta 6:   Dadas las siguientes expresiones, define su concepto e identifica su autor y/o contexto de aparición según corresponda</w:t>
      </w: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,</w:t>
        <w:tab/>
      </w:r>
    </w:p>
    <w:p w:rsidR="00000000" w:rsidDel="00000000" w:rsidP="00000000" w:rsidRDefault="00000000" w:rsidRPr="00000000" w14:paraId="00000052">
      <w:pPr>
        <w:ind w:firstLine="720"/>
        <w:jc w:val="both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a) “Crítica de procedencia/ crítica de restitución”              </w:t>
      </w:r>
    </w:p>
    <w:p w:rsidR="00000000" w:rsidDel="00000000" w:rsidP="00000000" w:rsidRDefault="00000000" w:rsidRPr="00000000" w14:paraId="00000053">
      <w:pPr>
        <w:jc w:val="both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ab/>
        <w:t xml:space="preserve">b)  Paradigma visual</w:t>
      </w:r>
    </w:p>
    <w:p w:rsidR="00000000" w:rsidDel="00000000" w:rsidP="00000000" w:rsidRDefault="00000000" w:rsidRPr="00000000" w14:paraId="00000054">
      <w:pPr>
        <w:ind w:firstLine="720"/>
        <w:jc w:val="both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c)  “Historia desde abajo ”</w:t>
      </w:r>
    </w:p>
    <w:p w:rsidR="00000000" w:rsidDel="00000000" w:rsidP="00000000" w:rsidRDefault="00000000" w:rsidRPr="00000000" w14:paraId="00000055">
      <w:pPr>
        <w:ind w:firstLine="720"/>
        <w:jc w:val="both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right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Escala: 1 punto</w:t>
      </w:r>
    </w:p>
    <w:p w:rsidR="00000000" w:rsidDel="00000000" w:rsidP="00000000" w:rsidRDefault="00000000" w:rsidRPr="00000000" w14:paraId="00000057">
      <w:pPr>
        <w:jc w:val="both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Preguntas 7: 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8"/>
          <w:szCs w:val="28"/>
          <w:rtl w:val="0"/>
        </w:rPr>
        <w:t xml:space="preserve">Señala si las siguientes características corresponden a la historiografía antigua,  a la bajo-medieval  o al historicismo alemán e identifica</w:t>
      </w: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 sus autores en caso que correspondan.   </w:t>
      </w: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u w:val="single"/>
          <w:rtl w:val="0"/>
        </w:rPr>
        <w:t xml:space="preserve">Elige 2 (dos) de esas características y amplíalas.</w:t>
      </w: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El historiador se presenta a sí mismo.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Temas político-militares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“Teoría del reflejo”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Juicio de verdad por jurado popular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Historia: magistra vitae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Historia  escrita en lenguas vernáculas.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Tucídides y la guerra del Peloponeso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Acompaña el resurgimiento de las ciudades.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Método crítico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Heurística y hermenéutica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El historiador participa en las querellas entre Papado y Monarca (Investiduras)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 servicio de las naciones estados europeos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Fin del Feudalismo y formación de la burguesía.</w:t>
      </w:r>
    </w:p>
    <w:p w:rsidR="00000000" w:rsidDel="00000000" w:rsidP="00000000" w:rsidRDefault="00000000" w:rsidRPr="00000000" w14:paraId="00000066">
      <w:pPr>
        <w:jc w:val="right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Escala:  1 punto </w:t>
      </w:r>
    </w:p>
    <w:p w:rsidR="00000000" w:rsidDel="00000000" w:rsidP="00000000" w:rsidRDefault="00000000" w:rsidRPr="00000000" w14:paraId="00000067">
      <w:pPr>
        <w:spacing w:line="240" w:lineRule="auto"/>
        <w:jc w:val="both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jc w:val="both"/>
        <w:rPr>
          <w:rFonts w:ascii="Arial Narrow" w:cs="Arial Narrow" w:eastAsia="Arial Narrow" w:hAnsi="Arial Narrow"/>
          <w:b w:val="1"/>
          <w:i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8"/>
          <w:szCs w:val="28"/>
          <w:rtl w:val="0"/>
        </w:rPr>
        <w:t xml:space="preserve">Pregunta 8:    a)  Señala de qué autores hablan los siguientes fragmentos e indica brevemente cómo los identificas.  </w:t>
      </w:r>
    </w:p>
    <w:p w:rsidR="00000000" w:rsidDel="00000000" w:rsidP="00000000" w:rsidRDefault="00000000" w:rsidRPr="00000000" w14:paraId="00000069">
      <w:pPr>
        <w:spacing w:line="240" w:lineRule="auto"/>
        <w:jc w:val="both"/>
        <w:rPr>
          <w:rFonts w:ascii="Arial Narrow" w:cs="Arial Narrow" w:eastAsia="Arial Narrow" w:hAnsi="Arial Narrow"/>
          <w:b w:val="1"/>
          <w:i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8"/>
          <w:szCs w:val="28"/>
          <w:rtl w:val="0"/>
        </w:rPr>
        <w:tab/>
        <w:t xml:space="preserve">b)   Amplía las frases  que aparecen resaltadas, indicando los aspectos destacados de su biografía:</w:t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Con su obra 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u w:val="single"/>
          <w:rtl w:val="0"/>
        </w:rPr>
        <w:t xml:space="preserve">Un destino: Martín Lutero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 (1828) </w:t>
      </w: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cultiva el género tradicional de la biografía histórica, 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pero desliza el estudio de los personajes ilustres a la</w:t>
      </w: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 exploración de las mentalidades colectivas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, género que continuará también en  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u w:val="single"/>
          <w:rtl w:val="0"/>
        </w:rPr>
        <w:t xml:space="preserve">El problema de la incredulidad en el siglo XVI: la religión de Rabelais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 –1942-.</w:t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 “</w:t>
      </w: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Su libro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, que él escribió con Langlois,</w:t>
      </w: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  se convirtió en la ‘Biblia de los historiadores’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 al realizar para la escuela francesa una </w:t>
      </w: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descripción minuciosa  del método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 que debía ser  aplicado por los historiadores profesionales.”</w:t>
      </w:r>
    </w:p>
    <w:p w:rsidR="00000000" w:rsidDel="00000000" w:rsidP="00000000" w:rsidRDefault="00000000" w:rsidRPr="00000000" w14:paraId="0000006C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 “Muy cercano a los círculos monárquicos del II Imperio francés, controló los principales circuitos intelectuales de la III República y a organizar la enseñanza pública y la educación superior.   Escribió la obra principal de la Historia de Francia”.</w:t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“Centró sus estudios en  las transformaciones  económicas y demográficas que se produjeron a finales del Antiguo Régimen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.  Su influencia fue más allá de la historia académica facilitando la creación de centros dedicados a la demografía francesa.”</w:t>
      </w:r>
    </w:p>
    <w:p w:rsidR="00000000" w:rsidDel="00000000" w:rsidP="00000000" w:rsidRDefault="00000000" w:rsidRPr="00000000" w14:paraId="0000006E">
      <w:pPr>
        <w:jc w:val="right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Escala:  1  punto </w:t>
      </w:r>
    </w:p>
    <w:p w:rsidR="00000000" w:rsidDel="00000000" w:rsidP="00000000" w:rsidRDefault="00000000" w:rsidRPr="00000000" w14:paraId="0000006F">
      <w:pPr>
        <w:jc w:val="both"/>
        <w:rPr>
          <w:rFonts w:ascii="Arial Narrow" w:cs="Arial Narrow" w:eastAsia="Arial Narrow" w:hAnsi="Arial Narrow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Arial Narrow" w:cs="Arial Narrow" w:eastAsia="Arial Narrow" w:hAnsi="Arial Narrow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Arial Narrow" w:cs="Arial Narrow" w:eastAsia="Arial Narrow" w:hAnsi="Arial Narrow"/>
          <w:b w:val="1"/>
          <w:i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8"/>
          <w:szCs w:val="28"/>
          <w:rtl w:val="0"/>
        </w:rPr>
        <w:t xml:space="preserve">Pregunta 9: Respecto del texto de Chesneaux, amplíe el sentido de las siguientes afirmaciones o ejemplos: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La historia, redactada por comisiones oficiales de escribas o mandarines, era un servicio del estado que presentaba el poder monárquico como la base de toda la máquina social, a través de la dimensión misma del tiempo” (p. 29)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“Las palabras ‘permanencia’, ‘continuidad’, ‘tradición’, ‘herencia’ se repetían sin cesar en el discurso histórico 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degaullista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 …” (p. 30)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sz w:val="28"/>
          <w:szCs w:val="28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color w:val="0070c0"/>
          <w:sz w:val="28"/>
          <w:szCs w:val="28"/>
          <w:rtl w:val="0"/>
        </w:rPr>
        <w:t xml:space="preserve">Nuestro conocimiento del pasado es siempre tributario del mundo en que vivimos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sz w:val="28"/>
          <w:szCs w:val="28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color w:val="0070c0"/>
          <w:sz w:val="28"/>
          <w:szCs w:val="28"/>
          <w:rtl w:val="0"/>
        </w:rPr>
        <w:t xml:space="preserve">“Es preciso ir más lejos […] es preciso afirmar, en principio, la primacía del presente sobre el pasado” (p. 64)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right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Escala: 1 Punto</w:t>
      </w:r>
    </w:p>
    <w:p w:rsidR="00000000" w:rsidDel="00000000" w:rsidP="00000000" w:rsidRDefault="00000000" w:rsidRPr="00000000" w14:paraId="0000007B">
      <w:pPr>
        <w:jc w:val="both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Arial Narrow" w:cs="Arial Narrow" w:eastAsia="Arial Narrow" w:hAnsi="Arial Narrow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Arial Narrow" w:cs="Arial Narrow" w:eastAsia="Arial Narrow" w:hAnsi="Arial Narrow"/>
          <w:b w:val="1"/>
          <w:i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8"/>
          <w:szCs w:val="28"/>
          <w:rtl w:val="0"/>
        </w:rPr>
        <w:t xml:space="preserve">10) Teniendo en cuenta el texto de Moradiellos, indica si las siguientes afirmaciones son verdaderas (V) o falsas (F): </w:t>
      </w:r>
    </w:p>
    <w:tbl>
      <w:tblPr>
        <w:tblStyle w:val="Table2"/>
        <w:tblW w:w="100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3"/>
        <w:gridCol w:w="8776"/>
        <w:gridCol w:w="851"/>
        <w:tblGridChange w:id="0">
          <w:tblGrid>
            <w:gridCol w:w="433"/>
            <w:gridCol w:w="8776"/>
            <w:gridCol w:w="8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jc w:val="both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a)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jc w:val="both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Según Dilthey el método propio de las ciencias del espíritu es la explicación.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jc w:val="both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jc w:val="both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b)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jc w:val="both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Según el neopositivismo, debe existir un único lenguaje y un único método para todas las disciplinas científicas.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jc w:val="both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jc w:val="both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jc w:val="both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Para Moradiellos, lo fundamental para establecer una distinción en el campo epistemológico es el objeto de estudio que cada disciplina construye. Así, las ciencias naturales estudian la naturaleza y las sociales seres humanos.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jc w:val="both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jc w:val="both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jc w:val="both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Parar Moradiellos, las ciencias deben clasificarse según su capacidad de repetir experiencias bajo control.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jc w:val="both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jc w:val="both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jc w:val="both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Un sujeto operatorio realiza operaciones, es decir, actividades recurrentes en contexto regidos por leyes generales.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jc w:val="both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jc w:val="both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f)</w:t>
            </w:r>
          </w:p>
          <w:p w:rsidR="00000000" w:rsidDel="00000000" w:rsidP="00000000" w:rsidRDefault="00000000" w:rsidRPr="00000000" w14:paraId="0000008E">
            <w:pPr>
              <w:jc w:val="both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jc w:val="both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Las metodologías alfa permiten formular leyes recurrentes porque eliminan la categoría de sujeto operatorio.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jc w:val="both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jc w:val="both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g)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jc w:val="both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Las metodologías beta contemplan al menos la existencia de dos sujetos operatorios: estudioso y estudiado.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jc w:val="both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jc w:val="both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h)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jc w:val="both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Dilthey, Windelband y Rickert comparten una posición dualista, es decir, reivindican rasgos específicos para las ciencias del hombre.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jc w:val="both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jc w:val="both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jc w:val="both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Para Moradiellos, la imposibilidad de experimentación que presentan ciertas ciencias naturales (ej. la microfísica) no conduce a la eliminación del método experimental como criterio de clasificación de las ciencias.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jc w:val="both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jc w:val="both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j)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jc w:val="both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La ciencias naturales hacen referencia a campos cuyos objetos establecen relaciones recurrentes de contigüidad física.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jc w:val="both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jc w:val="both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Arial Narrow" w:cs="Arial Narrow" w:eastAsia="Arial Narrow" w:hAnsi="Arial Narrow"/>
          <w:b w:val="1"/>
          <w:i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8"/>
          <w:szCs w:val="28"/>
          <w:rtl w:val="0"/>
        </w:rPr>
        <w:t xml:space="preserve">b) Teniendo en cuenta el análisis que Sigal hace del 17 de Octubre de 1945, comenta: 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El uso del espacio y el tiempo por parte de los actores. 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Las distintas interpretaciones del acontecimiento (tanto entre contemporáneos como   entre historiadores)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Arial Narrow" w:cs="Arial Narrow" w:eastAsia="Arial Narrow" w:hAnsi="Arial Narrow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Arial Narrow" w:cs="Arial Narrow" w:eastAsia="Arial Narrow" w:hAnsi="Arial Narrow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right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Escala: 1 punto</w:t>
      </w:r>
    </w:p>
    <w:sectPr>
      <w:headerReference r:id="rId6" w:type="default"/>
      <w:pgSz w:h="15840" w:w="12240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Narrow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92" w:hanging="360"/>
      </w:pPr>
      <w:rPr>
        <w:b w:val="1"/>
        <w:color w:val="0070c0"/>
      </w:rPr>
    </w:lvl>
    <w:lvl w:ilvl="1">
      <w:start w:val="1"/>
      <w:numFmt w:val="lowerRoman"/>
      <w:lvlText w:val="%2."/>
      <w:lvlJc w:val="right"/>
      <w:pPr>
        <w:ind w:left="1353" w:hanging="359.9999999999998"/>
      </w:pPr>
      <w:rPr>
        <w:b w:val="1"/>
      </w:rPr>
    </w:lvl>
    <w:lvl w:ilvl="2">
      <w:start w:val="1"/>
      <w:numFmt w:val="lowerRoman"/>
      <w:lvlText w:val="%3."/>
      <w:lvlJc w:val="right"/>
      <w:pPr>
        <w:ind w:left="2232" w:hanging="180"/>
      </w:pPr>
      <w:rPr/>
    </w:lvl>
    <w:lvl w:ilvl="3">
      <w:start w:val="1"/>
      <w:numFmt w:val="decimal"/>
      <w:lvlText w:val="%4."/>
      <w:lvlJc w:val="left"/>
      <w:pPr>
        <w:ind w:left="2952" w:hanging="360"/>
      </w:pPr>
      <w:rPr/>
    </w:lvl>
    <w:lvl w:ilvl="4">
      <w:start w:val="1"/>
      <w:numFmt w:val="lowerLetter"/>
      <w:lvlText w:val="%5."/>
      <w:lvlJc w:val="left"/>
      <w:pPr>
        <w:ind w:left="3672" w:hanging="360"/>
      </w:pPr>
      <w:rPr/>
    </w:lvl>
    <w:lvl w:ilvl="5">
      <w:start w:val="1"/>
      <w:numFmt w:val="lowerRoman"/>
      <w:lvlText w:val="%6."/>
      <w:lvlJc w:val="right"/>
      <w:pPr>
        <w:ind w:left="4392" w:hanging="180"/>
      </w:pPr>
      <w:rPr/>
    </w:lvl>
    <w:lvl w:ilvl="6">
      <w:start w:val="1"/>
      <w:numFmt w:val="decimal"/>
      <w:lvlText w:val="%7."/>
      <w:lvlJc w:val="left"/>
      <w:pPr>
        <w:ind w:left="5112" w:hanging="360"/>
      </w:pPr>
      <w:rPr/>
    </w:lvl>
    <w:lvl w:ilvl="7">
      <w:start w:val="1"/>
      <w:numFmt w:val="lowerLetter"/>
      <w:lvlText w:val="%8."/>
      <w:lvlJc w:val="left"/>
      <w:pPr>
        <w:ind w:left="5832" w:hanging="360"/>
      </w:pPr>
      <w:rPr/>
    </w:lvl>
    <w:lvl w:ilvl="8">
      <w:start w:val="1"/>
      <w:numFmt w:val="lowerRoman"/>
      <w:lvlText w:val="%9."/>
      <w:lvlJc w:val="right"/>
      <w:pPr>
        <w:ind w:left="6552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92" w:hanging="360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lowerLetter"/>
      <w:lvlText w:val="%1)"/>
      <w:lvlJc w:val="left"/>
      <w:pPr>
        <w:ind w:left="792" w:hanging="360"/>
      </w:pPr>
      <w:rPr>
        <w:b w:val="1"/>
      </w:rPr>
    </w:lvl>
    <w:lvl w:ilvl="1">
      <w:start w:val="1"/>
      <w:numFmt w:val="bullet"/>
      <w:lvlText w:val="●"/>
      <w:lvlJc w:val="left"/>
      <w:pPr>
        <w:ind w:left="1353" w:hanging="359.9999999999998"/>
      </w:pPr>
      <w:rPr>
        <w:b w:val="1"/>
      </w:rPr>
    </w:lvl>
    <w:lvl w:ilvl="2">
      <w:start w:val="1"/>
      <w:numFmt w:val="lowerRoman"/>
      <w:lvlText w:val="%3."/>
      <w:lvlJc w:val="right"/>
      <w:pPr>
        <w:ind w:left="2232" w:hanging="180"/>
      </w:pPr>
      <w:rPr/>
    </w:lvl>
    <w:lvl w:ilvl="3">
      <w:start w:val="1"/>
      <w:numFmt w:val="decimal"/>
      <w:lvlText w:val="%4."/>
      <w:lvlJc w:val="left"/>
      <w:pPr>
        <w:ind w:left="2952" w:hanging="360"/>
      </w:pPr>
      <w:rPr/>
    </w:lvl>
    <w:lvl w:ilvl="4">
      <w:start w:val="1"/>
      <w:numFmt w:val="lowerLetter"/>
      <w:lvlText w:val="%5."/>
      <w:lvlJc w:val="left"/>
      <w:pPr>
        <w:ind w:left="3672" w:hanging="360"/>
      </w:pPr>
      <w:rPr/>
    </w:lvl>
    <w:lvl w:ilvl="5">
      <w:start w:val="1"/>
      <w:numFmt w:val="lowerRoman"/>
      <w:lvlText w:val="%6."/>
      <w:lvlJc w:val="right"/>
      <w:pPr>
        <w:ind w:left="4392" w:hanging="180"/>
      </w:pPr>
      <w:rPr/>
    </w:lvl>
    <w:lvl w:ilvl="6">
      <w:start w:val="1"/>
      <w:numFmt w:val="decimal"/>
      <w:lvlText w:val="%7."/>
      <w:lvlJc w:val="left"/>
      <w:pPr>
        <w:ind w:left="5112" w:hanging="360"/>
      </w:pPr>
      <w:rPr/>
    </w:lvl>
    <w:lvl w:ilvl="7">
      <w:start w:val="1"/>
      <w:numFmt w:val="lowerLetter"/>
      <w:lvlText w:val="%8."/>
      <w:lvlJc w:val="left"/>
      <w:pPr>
        <w:ind w:left="5832" w:hanging="360"/>
      </w:pPr>
      <w:rPr/>
    </w:lvl>
    <w:lvl w:ilvl="8">
      <w:start w:val="1"/>
      <w:numFmt w:val="lowerRoman"/>
      <w:lvlText w:val="%9."/>
      <w:lvlJc w:val="right"/>
      <w:pPr>
        <w:ind w:left="6552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1713" w:hanging="360"/>
      </w:pPr>
      <w:rPr>
        <w:b w:val="1"/>
      </w:rPr>
    </w:lvl>
    <w:lvl w:ilvl="1">
      <w:start w:val="1"/>
      <w:numFmt w:val="bullet"/>
      <w:lvlText w:val="○"/>
      <w:lvlJc w:val="left"/>
      <w:pPr>
        <w:ind w:left="243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315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459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531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675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7473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lowerLetter"/>
      <w:lvlText w:val="%1)"/>
      <w:lvlJc w:val="left"/>
      <w:pPr>
        <w:ind w:left="1440" w:hanging="360"/>
      </w:pPr>
      <w:rPr>
        <w:b w:val="1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b w:val="1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lowerRoman"/>
      <w:lvlText w:val="%1."/>
      <w:lvlJc w:val="right"/>
      <w:pPr>
        <w:ind w:left="792" w:hanging="360"/>
      </w:pPr>
      <w:rPr>
        <w:b w:val="1"/>
      </w:rPr>
    </w:lvl>
    <w:lvl w:ilvl="1">
      <w:start w:val="1"/>
      <w:numFmt w:val="bullet"/>
      <w:lvlText w:val="o"/>
      <w:lvlJc w:val="left"/>
      <w:pPr>
        <w:ind w:left="187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9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1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3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5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7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9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18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lowerRoman"/>
      <w:lvlText w:val="%1."/>
      <w:lvlJc w:val="right"/>
      <w:pPr>
        <w:ind w:left="1152" w:hanging="360"/>
      </w:pPr>
      <w:rPr>
        <w:b w:val="1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