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PRIMER RECUPERATORIO PROBLEMAS DEL CONOCIMIENTO HISTÓRICO</w:t>
      </w:r>
    </w:p>
    <w:p w:rsidR="00000000" w:rsidDel="00000000" w:rsidP="00000000" w:rsidRDefault="00000000" w:rsidRPr="00000000" w14:paraId="00000002">
      <w:pPr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FECHA: 16 DE JUNIO DE 2020</w:t>
      </w:r>
    </w:p>
    <w:p w:rsidR="00000000" w:rsidDel="00000000" w:rsidP="00000000" w:rsidRDefault="00000000" w:rsidRPr="00000000" w14:paraId="00000003">
      <w:pPr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APELLIDO Y NOMBRE:</w:t>
      </w:r>
    </w:p>
    <w:p w:rsidR="00000000" w:rsidDel="00000000" w:rsidP="00000000" w:rsidRDefault="00000000" w:rsidRPr="00000000" w14:paraId="00000004">
      <w:pPr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 Narrow" w:cs="Arial Narrow" w:eastAsia="Arial Narrow" w:hAnsi="Arial Narrow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Pregunta 1:  Textos introductorios   Responder como verdadero o falso (más de una opción)</w:t>
      </w:r>
      <w:r w:rsidDel="00000000" w:rsidR="00000000" w:rsidRPr="00000000">
        <w:rPr>
          <w:rFonts w:ascii="Arial Narrow" w:cs="Arial Narrow" w:eastAsia="Arial Narrow" w:hAnsi="Arial Narrow"/>
          <w:i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la película “Coco”,  vemos como en la Historia, la comunicación del mundo de los vivos con el de los muertos.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película “Coco” tiene por única finalidad mostrar la importancia de la comunidad mexicana en los Estados 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Unidos.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Según Fontana,  la historia de los hombres debe comprender solamente la historia de la gente principal.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Según Fontana, en Norteamérica, la idea del “fin de la historia”  ha colaborado a sostener ideológicamente el neoliberalismo.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ida al archivo, para Michelet, permite al historiador exhumar personajes hasta entonces olvidados.</w:t>
      </w:r>
    </w:p>
    <w:p w:rsidR="00000000" w:rsidDel="00000000" w:rsidP="00000000" w:rsidRDefault="00000000" w:rsidRPr="00000000" w14:paraId="0000000B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</w:t>
        <w:br w:type="textWrapping"/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0,50  puntos</w:t>
      </w:r>
    </w:p>
    <w:p w:rsidR="00000000" w:rsidDel="00000000" w:rsidP="00000000" w:rsidRDefault="00000000" w:rsidRPr="00000000" w14:paraId="0000000C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Pregunta 2   Elige las opciones correctas (puede haber más de una).  Selecciona dos (2) y justifícalas.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1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Cuando hablamos de Historia y Memoria vemos que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719.9999999999999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L</w:t>
      </w: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memoria es emocional y mágica;  a la historia sólo le interesan las cosas muertas.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719.9999999999999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Para Carretero,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escuela y la historia escolar han colaborado en la formación de naciones  en América Latina. Eso se mantiene aún con el neoliberalismo.   </w:t>
      </w:r>
    </w:p>
    <w:p w:rsidR="00000000" w:rsidDel="00000000" w:rsidP="00000000" w:rsidRDefault="00000000" w:rsidRPr="00000000" w14:paraId="00000010">
      <w:pPr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1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Sobre los usos de la  memoria: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Para Rémond, los soldados sólo recuerdan su guerra.  La transmisión es difícil inmediatamente después de ocurrido el acontecimiento traumático.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Ricoeur incluye la amnistía o indulto entre las políticas de la memoria.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Para Schnapper Francia el ocultamiento de la Historia continuó también en la guerra colonial de Argelia.   </w:t>
      </w:r>
    </w:p>
    <w:p w:rsidR="00000000" w:rsidDel="00000000" w:rsidP="00000000" w:rsidRDefault="00000000" w:rsidRPr="00000000" w14:paraId="00000015">
      <w:pPr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1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Sobre patrimonio y lugares de la memoria.  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Cuando hablamos de patrimonio incluimos elementos materiales e inmateriales.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Los lugares de la memoria son unidades de sentido simbólico, marcas en el pasado elegidas por las sociedades.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la película 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Una vida iluminada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encontramos ejemplos de monumentos y lugares de la memoria.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“Plaza del Monumento invisible” es ejemplo de contramonumento. </w:t>
      </w:r>
    </w:p>
    <w:p w:rsidR="00000000" w:rsidDel="00000000" w:rsidP="00000000" w:rsidRDefault="00000000" w:rsidRPr="00000000" w14:paraId="0000001B">
      <w:pPr>
        <w:ind w:left="432" w:firstLine="0"/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  1 punto</w:t>
      </w:r>
    </w:p>
    <w:p w:rsidR="00000000" w:rsidDel="00000000" w:rsidP="00000000" w:rsidRDefault="00000000" w:rsidRPr="00000000" w14:paraId="0000001C">
      <w:pPr>
        <w:ind w:left="432" w:firstLine="0"/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Pregunta 3: Completar con respuesta breves ampliando la información: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Los relatos de Vial Correa y Salazar y Grez en Chile enfrentan dos comunidades profesionales y están dirigidas a públicos diferentes.  Ambas fueron elaboradas en coyunturas distintas.    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Después de la caída de las Torres gemelas se dijo “Todos somos americanos”, pero nadie dijo “Todos somos Tutisi” (Traverso)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Para Traverso los historiadores tienen una importante participación en los juicios por los “crímenes de lesa humanidad”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Para Traverso, la memoria acerca del Holocausto judío pasó por tres procesos, uno de los cuales ve la luz con el juicio a Eichman.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Para Traverso,  las políticas de la memoria de España y Chile  con respecto a sus dictaduras, fueron opuestas a las de la Argentina. 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En la película “Una vida iluminada”  temas como  la amnesia, el archivo, la identidad tienen una representación específica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1,50 puntos </w:t>
      </w:r>
    </w:p>
    <w:p w:rsidR="00000000" w:rsidDel="00000000" w:rsidP="00000000" w:rsidRDefault="00000000" w:rsidRPr="00000000" w14:paraId="0000002F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Pregunta 4:    Elige  las opciones correctas (puede haber más de una en cada ítem).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Con su libro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single"/>
          <w:shd w:fill="auto" w:val="clear"/>
          <w:vertAlign w:val="baseline"/>
          <w:rtl w:val="0"/>
        </w:rPr>
        <w:t xml:space="preserve">Apología al trabajo del historiador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MARC BLOC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 quiere responder  (completar nombre)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 resto de los historiadores  para reforzar su autonomía profesional y pedir su solidaridad.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escribe a la sociedad francesa en medio de la II Guerra Mundial</w:t>
      </w:r>
    </w:p>
    <w:p w:rsidR="00000000" w:rsidDel="00000000" w:rsidP="00000000" w:rsidRDefault="00000000" w:rsidRPr="00000000" w14:paraId="00000033">
      <w:pPr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Para  Weber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El científico social, entre ellos el historiador, están insertos  en el aparato burocrático del Estado.   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El historiador  sólo responde a las demandas del gobierno que orienta los temas que investiga </w:t>
      </w:r>
    </w:p>
    <w:p w:rsidR="00000000" w:rsidDel="00000000" w:rsidP="00000000" w:rsidRDefault="00000000" w:rsidRPr="00000000" w14:paraId="00000037">
      <w:pPr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0" w:hanging="360"/>
        <w:jc w:val="both"/>
        <w:rPr>
          <w:rFonts w:ascii="Arial Narrow" w:cs="Arial Narrow" w:eastAsia="Arial Narrow" w:hAnsi="Arial Narrow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La profesionalización de la  Historia y el historiador en Francia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3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 promovida por todos los presidentes de la III República como instrumento de propaganda nacionalizadora.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3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Toman su modelo de otras naciones europeas, menos de su enemigo principal: Alemania.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3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influencia  de sus maestros- ciudadanos llega a todos los  niveles de educación.  Lavisse fue autor de la Historia de Francia y de la reforma del sistema superior de enseñanza.</w:t>
      </w:r>
    </w:p>
    <w:p w:rsidR="00000000" w:rsidDel="00000000" w:rsidP="00000000" w:rsidRDefault="00000000" w:rsidRPr="00000000" w14:paraId="0000003C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 1  punto 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Pregunta 5:  Completa el siguiente cuadro comparativo: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8.0" w:type="dxa"/>
        <w:jc w:val="left"/>
        <w:tblInd w:w="0.0" w:type="dxa"/>
        <w:tblLayout w:type="fixed"/>
        <w:tblLook w:val="0400"/>
      </w:tblPr>
      <w:tblGrid>
        <w:gridCol w:w="2881"/>
        <w:gridCol w:w="3361"/>
        <w:gridCol w:w="3676"/>
        <w:gridCol w:w="10"/>
        <w:tblGridChange w:id="0">
          <w:tblGrid>
            <w:gridCol w:w="2881"/>
            <w:gridCol w:w="3361"/>
            <w:gridCol w:w="3676"/>
            <w:gridCol w:w="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spacing w:line="256" w:lineRule="auto"/>
              <w:jc w:val="center"/>
              <w:rPr>
                <w:rFonts w:ascii="Arial Narrow" w:cs="Arial Narrow" w:eastAsia="Arial Narrow" w:hAnsi="Arial Narrow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4"/>
                <w:szCs w:val="24"/>
                <w:rtl w:val="0"/>
              </w:rPr>
              <w:t xml:space="preserve">Escuela metódica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56" w:lineRule="auto"/>
              <w:jc w:val="center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4"/>
                <w:szCs w:val="24"/>
                <w:rtl w:val="0"/>
              </w:rPr>
              <w:t xml:space="preserve">Annales  (1ª  generación)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Actores y  protagonistas  que aparecen en sus relatos</w:t>
            </w:r>
          </w:p>
          <w:p w:rsidR="00000000" w:rsidDel="00000000" w:rsidP="00000000" w:rsidRDefault="00000000" w:rsidRPr="00000000" w14:paraId="00000044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Seignobos, Lavisse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Bloch, Febvre, Braudel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Temas y campos de la historia que frecuentan</w:t>
            </w:r>
          </w:p>
          <w:p w:rsidR="00000000" w:rsidDel="00000000" w:rsidP="00000000" w:rsidRDefault="00000000" w:rsidRPr="00000000" w14:paraId="00000049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La política militar y la diplomacia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Abarca lo más posible o todo, es la historia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Contextos y acontecimientos que las influyen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La guerra Franco-Prusiana. La primera guerra mundial. La crisis internacional de 1929.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56" w:lineRule="auto"/>
              <w:jc w:val="both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Régimen de Vichy.</w:t>
            </w:r>
          </w:p>
        </w:tc>
      </w:tr>
    </w:tbl>
    <w:p w:rsidR="00000000" w:rsidDel="00000000" w:rsidP="00000000" w:rsidRDefault="00000000" w:rsidRPr="00000000" w14:paraId="0000004F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br w:type="textWrapping"/>
        <w:t xml:space="preserve">Escala:  1  puntos</w:t>
      </w:r>
    </w:p>
    <w:p w:rsidR="00000000" w:rsidDel="00000000" w:rsidP="00000000" w:rsidRDefault="00000000" w:rsidRPr="00000000" w14:paraId="00000050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Pregunta 6:   Dadas las siguientes expresiones, define su concepto e identifica su autor y/o contexto de aparición según corresponda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,</w:t>
        <w:tab/>
      </w:r>
    </w:p>
    <w:p w:rsidR="00000000" w:rsidDel="00000000" w:rsidP="00000000" w:rsidRDefault="00000000" w:rsidRPr="00000000" w14:paraId="00000052">
      <w:pPr>
        <w:ind w:firstLine="72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a) “Crítica de procedencia/ crítica de restitución”              </w:t>
      </w:r>
    </w:p>
    <w:p w:rsidR="00000000" w:rsidDel="00000000" w:rsidP="00000000" w:rsidRDefault="00000000" w:rsidRPr="00000000" w14:paraId="00000053">
      <w:pPr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ab/>
        <w:t xml:space="preserve">b)  Paradigma visual</w:t>
      </w:r>
    </w:p>
    <w:p w:rsidR="00000000" w:rsidDel="00000000" w:rsidP="00000000" w:rsidRDefault="00000000" w:rsidRPr="00000000" w14:paraId="00000054">
      <w:pPr>
        <w:ind w:firstLine="72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c)  “Historia desde abajo ”</w:t>
      </w:r>
    </w:p>
    <w:p w:rsidR="00000000" w:rsidDel="00000000" w:rsidP="00000000" w:rsidRDefault="00000000" w:rsidRPr="00000000" w14:paraId="00000055">
      <w:pPr>
        <w:ind w:firstLine="72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1 punto</w:t>
      </w:r>
    </w:p>
    <w:p w:rsidR="00000000" w:rsidDel="00000000" w:rsidP="00000000" w:rsidRDefault="00000000" w:rsidRPr="00000000" w14:paraId="00000057">
      <w:pPr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Preguntas 7: 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Señala si las siguientes características corresponden a la historiografía antigua,  a la bajo-medieval  o al historicismo alemán e identifica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 sus autores en caso que correspondan.   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u w:val="single"/>
          <w:rtl w:val="0"/>
        </w:rPr>
        <w:t xml:space="preserve">Elige 2 (dos) de esas características y amplíalas.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 historiador se presenta a sí mismo.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Temas político-militares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“Teoría del reflejo”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Juicio de verdad por jurado popular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Historia: magistra vitae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Historia  escrita en lenguas vernáculas.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Tucídides y la guerra del Peloponeso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Acompaña el resurgimiento de las ciudades.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Método crítico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Heurística y hermenéutica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 historiador participa en las querellas entre Papado y Monarca (Investiduras)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 servicio de las naciones estados europeos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Fin del Feudalismo y formación de la burguesía.</w:t>
      </w:r>
    </w:p>
    <w:p w:rsidR="00000000" w:rsidDel="00000000" w:rsidP="00000000" w:rsidRDefault="00000000" w:rsidRPr="00000000" w14:paraId="00000066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 1 punto </w:t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Pregunta 8:    a)  Señala de qué autores hablan los siguientes fragmentos e indica brevemente cómo los identificas.  </w:t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ab/>
        <w:t xml:space="preserve">b)   Amplía las frases  que aparecen resaltadas, indicando los aspectos destacados de su biografía:</w:t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Con su obra 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u w:val="single"/>
          <w:rtl w:val="0"/>
        </w:rPr>
        <w:t xml:space="preserve">Un destino: Martín Lutero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(1828) 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cultiva el género tradicional de la biografía histórica, 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pero desliza el estudio de los personajes ilustres a la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 exploración de las mentalidades colectivas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, género que continuará también en  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u w:val="single"/>
          <w:rtl w:val="0"/>
        </w:rPr>
        <w:t xml:space="preserve">El problema de la incredulidad en el siglo XVI: la religión de Rabelais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–1942-.</w:t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“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Su libro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, que él escribió con Langlois,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  se convirtió en la ‘Biblia de los historiadores’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al realizar para la escuela francesa una </w:t>
      </w: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descripción minuciosa  del método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que debía ser  aplicado por los historiadores profesionales.”</w:t>
      </w:r>
    </w:p>
    <w:p w:rsidR="00000000" w:rsidDel="00000000" w:rsidP="00000000" w:rsidRDefault="00000000" w:rsidRPr="00000000" w14:paraId="0000006C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 “Muy cercano a los círculos monárquicos del II Imperio francés, controló los principales circuitos intelectuales de la III República y a organizar la enseñanza pública y la educación superior.   Escribió la obra principal de la Historia de Francia”.</w:t>
      </w:r>
    </w:p>
    <w:p w:rsidR="00000000" w:rsidDel="00000000" w:rsidP="00000000" w:rsidRDefault="00000000" w:rsidRPr="00000000" w14:paraId="0000006D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“Centró sus estudios en  las transformaciones  económicas y demográficas que se produjeron a finales del Antiguo Régimen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.  Su influencia fue más allá de la historia académica facilitando la creación de centros dedicados a la demografía francesa.”</w:t>
      </w:r>
    </w:p>
    <w:p w:rsidR="00000000" w:rsidDel="00000000" w:rsidP="00000000" w:rsidRDefault="00000000" w:rsidRPr="00000000" w14:paraId="0000006E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 1  punto </w:t>
      </w:r>
    </w:p>
    <w:p w:rsidR="00000000" w:rsidDel="00000000" w:rsidP="00000000" w:rsidRDefault="00000000" w:rsidRPr="00000000" w14:paraId="0000006F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Pregunta 9: Respecto del texto de Chesneaux, amplíe el sentido de las siguientes afirmaciones o ejemplos: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La historia, redactada por comisiones oficiales de escribas o mandarines, era un servicio del estado que presentaba el poder monárquico como la base de toda la máquina social, a través de la dimensión misma del tiempo” (p. 29)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“Las palabras ‘permanencia’, ‘continuidad’, ‘tradición’, ‘herencia’ se repetían sin cesar en el discurso histórico 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degaullista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 …” (p. 30)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sz w:val="28"/>
          <w:szCs w:val="28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color w:val="0070c0"/>
          <w:sz w:val="28"/>
          <w:szCs w:val="28"/>
          <w:rtl w:val="0"/>
        </w:rPr>
        <w:t xml:space="preserve">Nuestro conocimiento del pasado es siempre tributario del mundo en que vivimos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sz w:val="28"/>
          <w:szCs w:val="28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color w:val="0070c0"/>
          <w:sz w:val="28"/>
          <w:szCs w:val="28"/>
          <w:rtl w:val="0"/>
        </w:rPr>
        <w:t xml:space="preserve">“Es preciso ir más lejos […] es preciso afirmar, en principio, la primacía del presente sobre el pasado” (p. 64)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1 Punto</w:t>
      </w:r>
    </w:p>
    <w:p w:rsidR="00000000" w:rsidDel="00000000" w:rsidP="00000000" w:rsidRDefault="00000000" w:rsidRPr="00000000" w14:paraId="0000007B">
      <w:pPr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10) Teniendo en cuenta el texto de Moradiellos, indica si las siguientes afirmaciones son verdaderas (V) o falsas (F): </w:t>
      </w:r>
    </w:p>
    <w:tbl>
      <w:tblPr>
        <w:tblStyle w:val="Table2"/>
        <w:tblW w:w="100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3"/>
        <w:gridCol w:w="8776"/>
        <w:gridCol w:w="851"/>
        <w:tblGridChange w:id="0">
          <w:tblGrid>
            <w:gridCol w:w="433"/>
            <w:gridCol w:w="8776"/>
            <w:gridCol w:w="8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a)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Según Dilthey el método propio de las ciencias del espíritu es la explicación.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b)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Según el neopositivismo, debe existir un único lenguaje y un único método para todas las disciplinas científicas.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Para Moradiellos, lo fundamental para establecer una distinción en el campo epistemológico es el objeto de estudio que cada disciplina construye. Así, las ciencias naturales estudian la naturaleza y las sociales seres humanos.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Parar Moradiellos, las ciencias deben clasificarse según su capacidad de repetir experiencias bajo control.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Un sujeto operatorio realiza operaciones, es decir, actividades recurrentes en contexto regidos por leyes generales.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f)</w:t>
            </w:r>
          </w:p>
          <w:p w:rsidR="00000000" w:rsidDel="00000000" w:rsidP="00000000" w:rsidRDefault="00000000" w:rsidRPr="00000000" w14:paraId="0000008E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Las metodologías alfa permiten formular leyes recurrentes porque eliminan la categoría de sujeto operatorio.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g)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Las metodologías beta contemplan al menos la existencia de dos sujetos operatorios: estudioso y estudiado.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h)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Dilthey, Windelband y Rickert comparten una posición dualista, es decir, reivindican rasgos específicos para las ciencias del hombre.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Para Moradiellos, la imposibilidad de experimentación que presentan ciertas ciencias naturales (ej. la microfísica) no conduce a la eliminación del método experimental como criterio de clasificación de las ciencias.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both"/>
              <w:rPr>
                <w:rFonts w:ascii="Arial Narrow" w:cs="Arial Narrow" w:eastAsia="Arial Narrow" w:hAnsi="Arial Narrow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8"/>
                <w:szCs w:val="28"/>
                <w:rtl w:val="0"/>
              </w:rPr>
              <w:t xml:space="preserve">j)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8"/>
                <w:szCs w:val="28"/>
                <w:rtl w:val="0"/>
              </w:rPr>
              <w:t xml:space="preserve">La ciencias naturales hacen referencia a campos cuyos objetos establecen relaciones recurrentes de contigüidad física.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jc w:val="both"/>
              <w:rPr>
                <w:rFonts w:ascii="Arial Narrow" w:cs="Arial Narrow" w:eastAsia="Arial Narrow" w:hAnsi="Arial Narrow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rFonts w:ascii="Arial Narrow" w:cs="Arial Narrow" w:eastAsia="Arial Narrow" w:hAnsi="Arial Narrow"/>
          <w:b w:val="1"/>
          <w:i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8"/>
          <w:szCs w:val="28"/>
          <w:rtl w:val="0"/>
        </w:rPr>
        <w:t xml:space="preserve">b) Teniendo en cuenta el análisis que Sigal hace del 17 de Octubre de 1945, comenta: 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 uso del espacio y el tiempo por parte de los actores. 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Las distintas interpretaciones del acontecimiento (tanto entre contemporáneos como   entre historiadores)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 Narrow" w:cs="Arial Narrow" w:eastAsia="Arial Narrow" w:hAnsi="Arial Narrow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 Narrow" w:cs="Arial Narrow" w:eastAsia="Arial Narrow" w:hAnsi="Arial Narrow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right"/>
        <w:rPr>
          <w:rFonts w:ascii="Arial Narrow" w:cs="Arial Narrow" w:eastAsia="Arial Narrow" w:hAnsi="Arial Narrow"/>
          <w:b w:val="1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rtl w:val="0"/>
        </w:rPr>
        <w:t xml:space="preserve">Escala: 1 punto</w:t>
      </w:r>
    </w:p>
    <w:sectPr>
      <w:headerReference r:id="rId6" w:type="default"/>
      <w:pgSz w:h="15840" w:w="1224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Narrow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92" w:hanging="360"/>
      </w:pPr>
      <w:rPr>
        <w:b w:val="1"/>
        <w:color w:val="0070c0"/>
      </w:rPr>
    </w:lvl>
    <w:lvl w:ilvl="1">
      <w:start w:val="1"/>
      <w:numFmt w:val="lowerRoman"/>
      <w:lvlText w:val="%2."/>
      <w:lvlJc w:val="right"/>
      <w:pPr>
        <w:ind w:left="1353" w:hanging="359.9999999999998"/>
      </w:pPr>
      <w:rPr>
        <w:b w:val="1"/>
      </w:rPr>
    </w:lvl>
    <w:lvl w:ilvl="2">
      <w:start w:val="1"/>
      <w:numFmt w:val="lowerRoman"/>
      <w:lvlText w:val="%3."/>
      <w:lvlJc w:val="right"/>
      <w:pPr>
        <w:ind w:left="2232" w:hanging="180"/>
      </w:pPr>
      <w:rPr/>
    </w:lvl>
    <w:lvl w:ilvl="3">
      <w:start w:val="1"/>
      <w:numFmt w:val="decimal"/>
      <w:lvlText w:val="%4."/>
      <w:lvlJc w:val="left"/>
      <w:pPr>
        <w:ind w:left="2952" w:hanging="360"/>
      </w:pPr>
      <w:rPr/>
    </w:lvl>
    <w:lvl w:ilvl="4">
      <w:start w:val="1"/>
      <w:numFmt w:val="lowerLetter"/>
      <w:lvlText w:val="%5."/>
      <w:lvlJc w:val="left"/>
      <w:pPr>
        <w:ind w:left="3672" w:hanging="360"/>
      </w:pPr>
      <w:rPr/>
    </w:lvl>
    <w:lvl w:ilvl="5">
      <w:start w:val="1"/>
      <w:numFmt w:val="lowerRoman"/>
      <w:lvlText w:val="%6."/>
      <w:lvlJc w:val="right"/>
      <w:pPr>
        <w:ind w:left="4392" w:hanging="180"/>
      </w:pPr>
      <w:rPr/>
    </w:lvl>
    <w:lvl w:ilvl="6">
      <w:start w:val="1"/>
      <w:numFmt w:val="decimal"/>
      <w:lvlText w:val="%7."/>
      <w:lvlJc w:val="left"/>
      <w:pPr>
        <w:ind w:left="5112" w:hanging="360"/>
      </w:pPr>
      <w:rPr/>
    </w:lvl>
    <w:lvl w:ilvl="7">
      <w:start w:val="1"/>
      <w:numFmt w:val="lowerLetter"/>
      <w:lvlText w:val="%8."/>
      <w:lvlJc w:val="left"/>
      <w:pPr>
        <w:ind w:left="5832" w:hanging="360"/>
      </w:pPr>
      <w:rPr/>
    </w:lvl>
    <w:lvl w:ilvl="8">
      <w:start w:val="1"/>
      <w:numFmt w:val="lowerRoman"/>
      <w:lvlText w:val="%9."/>
      <w:lvlJc w:val="right"/>
      <w:pPr>
        <w:ind w:left="6552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92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Letter"/>
      <w:lvlText w:val="%1)"/>
      <w:lvlJc w:val="left"/>
      <w:pPr>
        <w:ind w:left="792" w:hanging="360"/>
      </w:pPr>
      <w:rPr>
        <w:b w:val="1"/>
      </w:rPr>
    </w:lvl>
    <w:lvl w:ilvl="1">
      <w:start w:val="1"/>
      <w:numFmt w:val="bullet"/>
      <w:lvlText w:val="●"/>
      <w:lvlJc w:val="left"/>
      <w:pPr>
        <w:ind w:left="1353" w:hanging="359.9999999999998"/>
      </w:pPr>
      <w:rPr>
        <w:b w:val="1"/>
      </w:rPr>
    </w:lvl>
    <w:lvl w:ilvl="2">
      <w:start w:val="1"/>
      <w:numFmt w:val="lowerRoman"/>
      <w:lvlText w:val="%3."/>
      <w:lvlJc w:val="right"/>
      <w:pPr>
        <w:ind w:left="2232" w:hanging="180"/>
      </w:pPr>
      <w:rPr/>
    </w:lvl>
    <w:lvl w:ilvl="3">
      <w:start w:val="1"/>
      <w:numFmt w:val="decimal"/>
      <w:lvlText w:val="%4."/>
      <w:lvlJc w:val="left"/>
      <w:pPr>
        <w:ind w:left="2952" w:hanging="360"/>
      </w:pPr>
      <w:rPr/>
    </w:lvl>
    <w:lvl w:ilvl="4">
      <w:start w:val="1"/>
      <w:numFmt w:val="lowerLetter"/>
      <w:lvlText w:val="%5."/>
      <w:lvlJc w:val="left"/>
      <w:pPr>
        <w:ind w:left="3672" w:hanging="360"/>
      </w:pPr>
      <w:rPr/>
    </w:lvl>
    <w:lvl w:ilvl="5">
      <w:start w:val="1"/>
      <w:numFmt w:val="lowerRoman"/>
      <w:lvlText w:val="%6."/>
      <w:lvlJc w:val="right"/>
      <w:pPr>
        <w:ind w:left="4392" w:hanging="180"/>
      </w:pPr>
      <w:rPr/>
    </w:lvl>
    <w:lvl w:ilvl="6">
      <w:start w:val="1"/>
      <w:numFmt w:val="decimal"/>
      <w:lvlText w:val="%7."/>
      <w:lvlJc w:val="left"/>
      <w:pPr>
        <w:ind w:left="5112" w:hanging="360"/>
      </w:pPr>
      <w:rPr/>
    </w:lvl>
    <w:lvl w:ilvl="7">
      <w:start w:val="1"/>
      <w:numFmt w:val="lowerLetter"/>
      <w:lvlText w:val="%8."/>
      <w:lvlJc w:val="left"/>
      <w:pPr>
        <w:ind w:left="5832" w:hanging="360"/>
      </w:pPr>
      <w:rPr/>
    </w:lvl>
    <w:lvl w:ilvl="8">
      <w:start w:val="1"/>
      <w:numFmt w:val="lowerRoman"/>
      <w:lvlText w:val="%9."/>
      <w:lvlJc w:val="right"/>
      <w:pPr>
        <w:ind w:left="6552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1713" w:hanging="360"/>
      </w:pPr>
      <w:rPr>
        <w:b w:val="1"/>
      </w:rPr>
    </w:lvl>
    <w:lvl w:ilvl="1">
      <w:start w:val="1"/>
      <w:numFmt w:val="bullet"/>
      <w:lvlText w:val="○"/>
      <w:lvlJc w:val="left"/>
      <w:pPr>
        <w:ind w:left="243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315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459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531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675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7473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lowerLetter"/>
      <w:lvlText w:val="%1)"/>
      <w:lvlJc w:val="left"/>
      <w:pPr>
        <w:ind w:left="1440" w:hanging="360"/>
      </w:pPr>
      <w:rPr>
        <w:b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lowerRoman"/>
      <w:lvlText w:val="%1."/>
      <w:lvlJc w:val="right"/>
      <w:pPr>
        <w:ind w:left="792" w:hanging="360"/>
      </w:pPr>
      <w:rPr>
        <w:b w:val="1"/>
      </w:rPr>
    </w:lvl>
    <w:lvl w:ilvl="1">
      <w:start w:val="1"/>
      <w:numFmt w:val="bullet"/>
      <w:lvlText w:val="o"/>
      <w:lvlJc w:val="left"/>
      <w:pPr>
        <w:ind w:left="187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9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1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3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5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7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9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18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lowerRoman"/>
      <w:lvlText w:val="%1."/>
      <w:lvlJc w:val="right"/>
      <w:pPr>
        <w:ind w:left="1152" w:hanging="360"/>
      </w:pPr>
      <w:rPr>
        <w:b w:val="1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