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98" w:rsidRDefault="009578DA">
      <w:r>
        <w:t>Preguntas del primer parcial de Filosofía de la Religión</w:t>
      </w:r>
    </w:p>
    <w:p w:rsidR="009578DA" w:rsidRDefault="00B62F98">
      <w:r>
        <w:t xml:space="preserve">Los puntos 4, 5 y 7 son de desarrollo. </w:t>
      </w:r>
      <w:r w:rsidR="009578DA">
        <w:t xml:space="preserve"> </w:t>
      </w:r>
    </w:p>
    <w:p w:rsidR="00EA5385" w:rsidRDefault="009578DA">
      <w:proofErr w:type="gramStart"/>
      <w:r>
        <w:t>1)¿</w:t>
      </w:r>
      <w:proofErr w:type="gramEnd"/>
      <w:r>
        <w:t xml:space="preserve">Por qué según </w:t>
      </w:r>
      <w:proofErr w:type="spellStart"/>
      <w:r>
        <w:t>Fraijó</w:t>
      </w:r>
      <w:proofErr w:type="spellEnd"/>
      <w:r>
        <w:t xml:space="preserve"> en la Antigüedad y en la Edad Media no existía el problema de la religión?</w:t>
      </w:r>
    </w:p>
    <w:p w:rsidR="009578DA" w:rsidRDefault="009578DA">
      <w:proofErr w:type="gramStart"/>
      <w:r>
        <w:t>2)Explicar</w:t>
      </w:r>
      <w:proofErr w:type="gramEnd"/>
      <w:r>
        <w:t xml:space="preserve"> a partir de un ejemplo contemporáneo la correlación existente entre mito y rito de acuerdo con </w:t>
      </w:r>
      <w:proofErr w:type="spellStart"/>
      <w:r>
        <w:t>Widengren</w:t>
      </w:r>
      <w:proofErr w:type="spellEnd"/>
    </w:p>
    <w:p w:rsidR="009578DA" w:rsidRDefault="009578DA">
      <w:r>
        <w:t xml:space="preserve">3) ¿Qué limitación se podría señalar en la definición de religión propuesta por Ter </w:t>
      </w:r>
      <w:proofErr w:type="spellStart"/>
      <w:r>
        <w:t>Borg</w:t>
      </w:r>
      <w:proofErr w:type="spellEnd"/>
      <w:r>
        <w:t>?</w:t>
      </w:r>
    </w:p>
    <w:p w:rsidR="009578DA" w:rsidRDefault="009578DA">
      <w:r>
        <w:t xml:space="preserve">4) </w:t>
      </w:r>
      <w:proofErr w:type="spellStart"/>
      <w:r>
        <w:t>a</w:t>
      </w:r>
      <w:proofErr w:type="gramStart"/>
      <w:r>
        <w:t>.¿</w:t>
      </w:r>
      <w:proofErr w:type="gramEnd"/>
      <w:r>
        <w:t>cuál</w:t>
      </w:r>
      <w:proofErr w:type="spellEnd"/>
      <w:r>
        <w:t xml:space="preserve"> es la importancia del sentimiento en la conceptualización de lo </w:t>
      </w:r>
      <w:proofErr w:type="spellStart"/>
      <w:r>
        <w:t>numinoso</w:t>
      </w:r>
      <w:proofErr w:type="spellEnd"/>
      <w:r>
        <w:t xml:space="preserve"> que plantea Otto?</w:t>
      </w:r>
    </w:p>
    <w:p w:rsidR="009578DA" w:rsidRDefault="009578DA">
      <w:proofErr w:type="spellStart"/>
      <w:proofErr w:type="gramStart"/>
      <w:r>
        <w:t>b.¿</w:t>
      </w:r>
      <w:proofErr w:type="gramEnd"/>
      <w:r>
        <w:t>Qué</w:t>
      </w:r>
      <w:proofErr w:type="spellEnd"/>
      <w:r>
        <w:t xml:space="preserve"> critica le hace a </w:t>
      </w:r>
      <w:proofErr w:type="spellStart"/>
      <w:r>
        <w:t>Schleiermacher</w:t>
      </w:r>
      <w:proofErr w:type="spellEnd"/>
      <w:r>
        <w:t xml:space="preserve"> sobre este punto?</w:t>
      </w:r>
    </w:p>
    <w:p w:rsidR="009578DA" w:rsidRDefault="009578DA">
      <w:proofErr w:type="gramStart"/>
      <w:r>
        <w:t>5)Explicar</w:t>
      </w:r>
      <w:proofErr w:type="gramEnd"/>
      <w:r>
        <w:t xml:space="preserve"> la frase de Otto, del capítulo 6:</w:t>
      </w:r>
    </w:p>
    <w:p w:rsidR="009578DA" w:rsidRDefault="009578DA">
      <w:r>
        <w:t>“Las representaciones y conceptos racionales que van paralelos</w:t>
      </w:r>
      <w:r w:rsidR="00B62F98">
        <w:t xml:space="preserve"> a estos momentos irracionales de lo fascinante y lo esquematizan, son: el amor, la misericordia</w:t>
      </w:r>
      <w:bookmarkStart w:id="0" w:name="_GoBack"/>
      <w:bookmarkEnd w:id="0"/>
      <w:r w:rsidR="00B62F98">
        <w:t>, la compasión, la caridad; todos momentos ‘naturales’ de  la experiencia anímica común, sólo que pensados en su perfección</w:t>
      </w:r>
      <w:r>
        <w:t>”</w:t>
      </w:r>
      <w:r w:rsidR="00B62F98">
        <w:t>(</w:t>
      </w:r>
      <w:proofErr w:type="spellStart"/>
      <w:r w:rsidR="00B62F98">
        <w:t>pág</w:t>
      </w:r>
      <w:proofErr w:type="spellEnd"/>
      <w:r w:rsidR="00B62F98">
        <w:t xml:space="preserve"> 50)</w:t>
      </w:r>
    </w:p>
    <w:p w:rsidR="009578DA" w:rsidRDefault="009578DA">
      <w:proofErr w:type="gramStart"/>
      <w:r>
        <w:t>6)¿</w:t>
      </w:r>
      <w:proofErr w:type="gramEnd"/>
      <w:r>
        <w:t xml:space="preserve">En qué tipo de filosofía de la religión se ubica Kant según </w:t>
      </w:r>
      <w:proofErr w:type="spellStart"/>
      <w:r>
        <w:t>Caffarena</w:t>
      </w:r>
      <w:proofErr w:type="spellEnd"/>
      <w:r>
        <w:t>? Justificar.</w:t>
      </w:r>
    </w:p>
    <w:p w:rsidR="009578DA" w:rsidRDefault="009578DA">
      <w:proofErr w:type="gramStart"/>
      <w:r>
        <w:t>7)Aclarar</w:t>
      </w:r>
      <w:proofErr w:type="gramEnd"/>
      <w:r>
        <w:t xml:space="preserve"> lar elación que hace Hegel entre religión y conciencia a partir de la frase:</w:t>
      </w:r>
    </w:p>
    <w:p w:rsidR="009578DA" w:rsidRDefault="009578DA">
      <w:r>
        <w:t>“Filosofía de la religión es esta compensación –lo infinito en lo finito, lo finito en lo infinito- reconciliación del ánimo con el conocimiento y del sentimiento religioso absolutamente sólido con la inteligencia.” (pág. 21)</w:t>
      </w:r>
    </w:p>
    <w:sectPr w:rsidR="00957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DA"/>
    <w:rsid w:val="009578DA"/>
    <w:rsid w:val="00B62F98"/>
    <w:rsid w:val="00E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1</cp:revision>
  <dcterms:created xsi:type="dcterms:W3CDTF">2017-05-09T18:50:00Z</dcterms:created>
  <dcterms:modified xsi:type="dcterms:W3CDTF">2017-05-09T19:04:00Z</dcterms:modified>
</cp:coreProperties>
</file>