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EE" w:rsidRDefault="009450EE">
      <w:pPr>
        <w:rPr>
          <w:rFonts w:ascii="Arial" w:hAnsi="Arial" w:cs="Arial"/>
        </w:rPr>
      </w:pPr>
    </w:p>
    <w:p w:rsidR="00D72C36" w:rsidRDefault="009B2866" w:rsidP="009B286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Culminación del proceso contable en la empresa “CONTA Y BÁSICA SRL”</w:t>
      </w:r>
      <w:r w:rsidR="00AA43CA">
        <w:rPr>
          <w:rFonts w:ascii="Arial" w:hAnsi="Arial" w:cs="Arial"/>
        </w:rPr>
        <w:t>.</w:t>
      </w:r>
    </w:p>
    <w:p w:rsidR="00B30C9C" w:rsidRDefault="00B30C9C" w:rsidP="00B30C9C">
      <w:pPr>
        <w:pStyle w:val="Prrafodelista"/>
        <w:rPr>
          <w:rFonts w:ascii="Arial" w:hAnsi="Arial" w:cs="Arial"/>
        </w:rPr>
      </w:pPr>
    </w:p>
    <w:p w:rsidR="00AA43CA" w:rsidRDefault="00AA43CA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 hacer las tareas de control propias del cierre de ejercicio se ha verificado la omisión de registración de la venta del</w:t>
      </w:r>
      <w:r w:rsidR="00507DB4">
        <w:rPr>
          <w:rFonts w:ascii="Arial" w:hAnsi="Arial" w:cs="Arial"/>
        </w:rPr>
        <w:t xml:space="preserve"> único </w:t>
      </w:r>
      <w:r w:rsidR="000E1553">
        <w:rPr>
          <w:rFonts w:ascii="Arial" w:hAnsi="Arial" w:cs="Arial"/>
        </w:rPr>
        <w:t>vehículo</w:t>
      </w:r>
      <w:r w:rsidR="00507DB4">
        <w:rPr>
          <w:rFonts w:ascii="Arial" w:hAnsi="Arial" w:cs="Arial"/>
        </w:rPr>
        <w:t xml:space="preserve"> propiedad de la empresa. La misma se </w:t>
      </w:r>
      <w:r w:rsidR="000E1553">
        <w:rPr>
          <w:rFonts w:ascii="Arial" w:hAnsi="Arial" w:cs="Arial"/>
        </w:rPr>
        <w:t>efectuó</w:t>
      </w:r>
      <w:r w:rsidR="00507DB4">
        <w:rPr>
          <w:rFonts w:ascii="Arial" w:hAnsi="Arial" w:cs="Arial"/>
        </w:rPr>
        <w:t xml:space="preserve"> por $100000, cobrando mitad en efectivo, previo descuento del 5%</w:t>
      </w:r>
      <w:r w:rsidR="004A2B23">
        <w:rPr>
          <w:rFonts w:ascii="Arial" w:hAnsi="Arial" w:cs="Arial"/>
        </w:rPr>
        <w:t xml:space="preserve"> por pago al contado y el remanente en dos pagares con vencimiento a 90 y 180 días que incluyen un interés </w:t>
      </w:r>
      <w:r w:rsidR="003E1278">
        <w:rPr>
          <w:rFonts w:ascii="Arial" w:hAnsi="Arial" w:cs="Arial"/>
        </w:rPr>
        <w:t xml:space="preserve">del 6% bimestral. Por otra parte, </w:t>
      </w:r>
      <w:r w:rsidR="000E1553">
        <w:rPr>
          <w:rFonts w:ascii="Arial" w:hAnsi="Arial" w:cs="Arial"/>
        </w:rPr>
        <w:t>aún</w:t>
      </w:r>
      <w:r w:rsidR="003E1278">
        <w:rPr>
          <w:rFonts w:ascii="Arial" w:hAnsi="Arial" w:cs="Arial"/>
        </w:rPr>
        <w:t xml:space="preserve"> no han sido registradas las amortizaciones del ejercicio correspondiente al inmueble </w:t>
      </w:r>
      <w:r w:rsidR="007814AF">
        <w:rPr>
          <w:rFonts w:ascii="Arial" w:hAnsi="Arial" w:cs="Arial"/>
        </w:rPr>
        <w:t>(</w:t>
      </w:r>
      <w:r w:rsidR="003E1278">
        <w:rPr>
          <w:rFonts w:ascii="Arial" w:hAnsi="Arial" w:cs="Arial"/>
        </w:rPr>
        <w:t xml:space="preserve">local de ventas </w:t>
      </w:r>
      <w:r w:rsidR="007814AF">
        <w:rPr>
          <w:rFonts w:ascii="Arial" w:hAnsi="Arial" w:cs="Arial"/>
        </w:rPr>
        <w:t xml:space="preserve">y </w:t>
      </w:r>
      <w:r w:rsidR="000E1553">
        <w:rPr>
          <w:rFonts w:ascii="Arial" w:hAnsi="Arial" w:cs="Arial"/>
        </w:rPr>
        <w:t>depósito</w:t>
      </w:r>
      <w:r w:rsidR="007814AF">
        <w:rPr>
          <w:rFonts w:ascii="Arial" w:hAnsi="Arial" w:cs="Arial"/>
        </w:rPr>
        <w:t xml:space="preserve"> sobre un terreno propio en $90000) y a los muebles y útiles que son amortizados </w:t>
      </w:r>
      <w:r w:rsidR="00E17114">
        <w:rPr>
          <w:rFonts w:ascii="Arial" w:hAnsi="Arial" w:cs="Arial"/>
        </w:rPr>
        <w:t xml:space="preserve">conforme la vida útil tradicional y su valor es de 800. Todos los bienes de uso están afectados al área </w:t>
      </w:r>
      <w:r w:rsidR="000E1553">
        <w:rPr>
          <w:rFonts w:ascii="Arial" w:hAnsi="Arial" w:cs="Arial"/>
        </w:rPr>
        <w:t>comercial. P</w:t>
      </w:r>
      <w:r w:rsidR="00E17114">
        <w:rPr>
          <w:rFonts w:ascii="Arial" w:hAnsi="Arial" w:cs="Arial"/>
        </w:rPr>
        <w:t xml:space="preserve">or otra parte, aun </w:t>
      </w:r>
      <w:r w:rsidR="000E1553">
        <w:rPr>
          <w:rFonts w:ascii="Arial" w:hAnsi="Arial" w:cs="Arial"/>
        </w:rPr>
        <w:t>no se ha determinado y contabilizado el costo de mercaderías vendidas (existencia final según recuento físico $20000)</w:t>
      </w:r>
    </w:p>
    <w:p w:rsidR="00B30C9C" w:rsidRDefault="00B30C9C" w:rsidP="00B30C9C">
      <w:pPr>
        <w:pStyle w:val="Prrafodelista"/>
        <w:rPr>
          <w:rFonts w:ascii="Arial" w:hAnsi="Arial" w:cs="Arial"/>
        </w:rPr>
      </w:pPr>
    </w:p>
    <w:p w:rsidR="00B30C9C" w:rsidRDefault="00F92AF4" w:rsidP="00B30C9C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Luego de la registración anterior, completar y cerrar la hoja de resultado.</w:t>
      </w:r>
    </w:p>
    <w:p w:rsidR="00B30C9C" w:rsidRPr="00B30C9C" w:rsidRDefault="00B30C9C" w:rsidP="00B30C9C">
      <w:pPr>
        <w:spacing w:after="0"/>
        <w:rPr>
          <w:rFonts w:ascii="Arial" w:hAnsi="Arial" w:cs="Arial"/>
        </w:rPr>
      </w:pPr>
    </w:p>
    <w:p w:rsidR="00F92AF4" w:rsidRDefault="00F92AF4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Confeccionar el estado de situación patrimonial y el estado de resultado</w:t>
      </w:r>
    </w:p>
    <w:p w:rsidR="00B30C9C" w:rsidRDefault="00B30C9C" w:rsidP="00B30C9C">
      <w:pPr>
        <w:pStyle w:val="Prrafodelista"/>
        <w:rPr>
          <w:rFonts w:ascii="Arial" w:hAnsi="Arial" w:cs="Arial"/>
        </w:rPr>
      </w:pPr>
    </w:p>
    <w:p w:rsidR="00F92AF4" w:rsidRDefault="00F92AF4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Registrar el asiento </w:t>
      </w:r>
      <w:r w:rsidR="00846A75">
        <w:rPr>
          <w:rFonts w:ascii="Arial" w:hAnsi="Arial" w:cs="Arial"/>
        </w:rPr>
        <w:t>de</w:t>
      </w:r>
      <w:r w:rsidR="00E62A8C">
        <w:rPr>
          <w:rFonts w:ascii="Arial" w:hAnsi="Arial" w:cs="Arial"/>
        </w:rPr>
        <w:t xml:space="preserve"> refundición </w:t>
      </w:r>
      <w:r w:rsidR="00B30C9C">
        <w:rPr>
          <w:rFonts w:ascii="Arial" w:hAnsi="Arial" w:cs="Arial"/>
        </w:rPr>
        <w:t>de cuentas de resultado y cierre de cuentas patrimoniales.</w:t>
      </w:r>
    </w:p>
    <w:p w:rsidR="00B30C9C" w:rsidRPr="00B30C9C" w:rsidRDefault="00B30C9C" w:rsidP="00B30C9C">
      <w:pPr>
        <w:pStyle w:val="Prrafodelista"/>
        <w:rPr>
          <w:rFonts w:ascii="Arial" w:hAnsi="Arial" w:cs="Arial"/>
        </w:rPr>
      </w:pPr>
    </w:p>
    <w:p w:rsidR="00B30C9C" w:rsidRDefault="00B30C9C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Transcurridos 3 meses los socios se reúnen </w:t>
      </w:r>
      <w:r w:rsidR="00AE164B">
        <w:rPr>
          <w:rFonts w:ascii="Arial" w:hAnsi="Arial" w:cs="Arial"/>
        </w:rPr>
        <w:t xml:space="preserve">y deciden luego de cumplir con los requisitos locales, repartir el resultado entre ellos (40% socio </w:t>
      </w:r>
      <w:proofErr w:type="spellStart"/>
      <w:r w:rsidR="00AE164B">
        <w:rPr>
          <w:rFonts w:ascii="Arial" w:hAnsi="Arial" w:cs="Arial"/>
        </w:rPr>
        <w:t>conta</w:t>
      </w:r>
      <w:proofErr w:type="spellEnd"/>
      <w:r w:rsidR="00AE164B">
        <w:rPr>
          <w:rFonts w:ascii="Arial" w:hAnsi="Arial" w:cs="Arial"/>
        </w:rPr>
        <w:t xml:space="preserve"> y 60% socio básica).</w:t>
      </w:r>
    </w:p>
    <w:p w:rsidR="00AE164B" w:rsidRPr="00AE164B" w:rsidRDefault="00AE164B" w:rsidP="00AE164B">
      <w:pPr>
        <w:pStyle w:val="Prrafodelista"/>
        <w:rPr>
          <w:rFonts w:ascii="Arial" w:hAnsi="Arial" w:cs="Arial"/>
        </w:rPr>
      </w:pPr>
    </w:p>
    <w:p w:rsidR="00AE164B" w:rsidRDefault="0063091F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Indique en que registro contable se </w:t>
      </w:r>
      <w:r w:rsidR="009179E7">
        <w:rPr>
          <w:rFonts w:ascii="Arial" w:hAnsi="Arial" w:cs="Arial"/>
        </w:rPr>
        <w:t>trascriben</w:t>
      </w:r>
      <w:r>
        <w:rPr>
          <w:rFonts w:ascii="Arial" w:hAnsi="Arial" w:cs="Arial"/>
        </w:rPr>
        <w:t xml:space="preserve"> las tareas realizadas en a, b, c, d y e.</w:t>
      </w:r>
    </w:p>
    <w:p w:rsidR="009179E7" w:rsidRPr="009179E7" w:rsidRDefault="009179E7" w:rsidP="009179E7">
      <w:pPr>
        <w:pStyle w:val="Prrafodelista"/>
        <w:rPr>
          <w:rFonts w:ascii="Arial" w:hAnsi="Arial" w:cs="Arial"/>
        </w:rPr>
      </w:pPr>
    </w:p>
    <w:p w:rsidR="009179E7" w:rsidRDefault="009179E7" w:rsidP="00AA43C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Libro de inventario y balance: concepto, requisitos legales y contenido.</w:t>
      </w:r>
    </w:p>
    <w:p w:rsidR="00504265" w:rsidRPr="00504265" w:rsidRDefault="00504265" w:rsidP="00504265">
      <w:pPr>
        <w:pStyle w:val="Prrafodelista"/>
        <w:rPr>
          <w:rFonts w:ascii="Arial" w:hAnsi="Arial" w:cs="Arial"/>
        </w:rPr>
      </w:pPr>
    </w:p>
    <w:p w:rsidR="00504265" w:rsidRDefault="00504265" w:rsidP="00504265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Asiento de </w:t>
      </w:r>
      <w:r w:rsidR="006A7A11">
        <w:rPr>
          <w:rFonts w:ascii="Arial" w:hAnsi="Arial" w:cs="Arial"/>
        </w:rPr>
        <w:t>ajuste</w:t>
      </w:r>
    </w:p>
    <w:p w:rsidR="006A7A11" w:rsidRDefault="006A7A11" w:rsidP="006A7A11">
      <w:pPr>
        <w:pStyle w:val="Prrafodelista"/>
        <w:rPr>
          <w:rFonts w:ascii="Arial" w:hAnsi="Arial" w:cs="Arial"/>
        </w:rPr>
      </w:pPr>
    </w:p>
    <w:p w:rsidR="00504265" w:rsidRDefault="00504265" w:rsidP="0050426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Concepto y clasificación de los mismos.</w:t>
      </w:r>
    </w:p>
    <w:p w:rsidR="006A7A11" w:rsidRDefault="006A7A11" w:rsidP="006A7A11">
      <w:pPr>
        <w:pStyle w:val="Prrafodelista"/>
        <w:rPr>
          <w:rFonts w:ascii="Arial" w:hAnsi="Arial" w:cs="Arial"/>
        </w:rPr>
      </w:pPr>
    </w:p>
    <w:p w:rsidR="00504265" w:rsidRDefault="00504265" w:rsidP="00504265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Brinde un ejemplo con enunciado y registración en el libro diario general correspondiente a un ajuste por </w:t>
      </w:r>
      <w:r w:rsidR="006A7A11">
        <w:rPr>
          <w:rFonts w:ascii="Arial" w:hAnsi="Arial" w:cs="Arial"/>
        </w:rPr>
        <w:t>conciliación con terceros.</w:t>
      </w:r>
    </w:p>
    <w:p w:rsidR="006A7A11" w:rsidRPr="006A7A11" w:rsidRDefault="006A7A11" w:rsidP="006A7A11">
      <w:pPr>
        <w:pStyle w:val="Prrafodelista"/>
        <w:rPr>
          <w:rFonts w:ascii="Arial" w:hAnsi="Arial" w:cs="Arial"/>
        </w:rPr>
      </w:pPr>
    </w:p>
    <w:p w:rsidR="006A7A11" w:rsidRDefault="006A7A11" w:rsidP="006A7A11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Estados contables.</w:t>
      </w:r>
    </w:p>
    <w:p w:rsidR="00C92EAD" w:rsidRPr="006A7A11" w:rsidRDefault="00C92EAD" w:rsidP="00C92EAD">
      <w:pPr>
        <w:pStyle w:val="Prrafodelista"/>
        <w:rPr>
          <w:rFonts w:ascii="Arial" w:hAnsi="Arial" w:cs="Arial"/>
        </w:rPr>
      </w:pPr>
    </w:p>
    <w:p w:rsidR="00C92EAD" w:rsidRDefault="006A7A11" w:rsidP="00C92EAD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Explique </w:t>
      </w:r>
      <w:r w:rsidR="00C92EAD">
        <w:rPr>
          <w:rFonts w:ascii="Arial" w:hAnsi="Arial" w:cs="Arial"/>
        </w:rPr>
        <w:t>cuál</w:t>
      </w:r>
      <w:r>
        <w:rPr>
          <w:rFonts w:ascii="Arial" w:hAnsi="Arial" w:cs="Arial"/>
        </w:rPr>
        <w:t xml:space="preserve"> es el criterio utilizado por las normas contables para clasificar un activo como </w:t>
      </w:r>
      <w:r w:rsidR="00C92EAD">
        <w:rPr>
          <w:rFonts w:ascii="Arial" w:hAnsi="Arial" w:cs="Arial"/>
        </w:rPr>
        <w:t>CORRIENTE y NO CORRIENTE.</w:t>
      </w:r>
    </w:p>
    <w:p w:rsidR="00C92EAD" w:rsidRDefault="00C92EAD" w:rsidP="00C92EAD">
      <w:pPr>
        <w:pStyle w:val="Prrafodelista"/>
        <w:rPr>
          <w:rFonts w:ascii="Arial" w:hAnsi="Arial" w:cs="Arial"/>
        </w:rPr>
      </w:pPr>
    </w:p>
    <w:p w:rsidR="00F824FC" w:rsidRDefault="00C92EAD" w:rsidP="00F824FC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Explique cuál es el criterio utilizado por las normas contables para clasificar un pasivo como CORRIENTE y NO CORRIENTE</w:t>
      </w:r>
    </w:p>
    <w:p w:rsidR="00F824FC" w:rsidRPr="00F824FC" w:rsidRDefault="00F824FC" w:rsidP="00F824FC">
      <w:pPr>
        <w:spacing w:after="0"/>
        <w:rPr>
          <w:rFonts w:ascii="Arial" w:hAnsi="Arial" w:cs="Arial"/>
        </w:rPr>
      </w:pPr>
    </w:p>
    <w:p w:rsidR="00C92EAD" w:rsidRDefault="00F824FC" w:rsidP="00F824FC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Registros contables</w:t>
      </w:r>
    </w:p>
    <w:p w:rsidR="00E62A8C" w:rsidRDefault="00E62A8C" w:rsidP="00E62A8C">
      <w:pPr>
        <w:pStyle w:val="Prrafodelista"/>
        <w:rPr>
          <w:rFonts w:ascii="Arial" w:hAnsi="Arial" w:cs="Arial"/>
        </w:rPr>
      </w:pPr>
    </w:p>
    <w:p w:rsidR="00E62A8C" w:rsidRDefault="00F824FC" w:rsidP="00E62A8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Defina el registro contable, herramienta contable, asiento contable y estado contable </w:t>
      </w:r>
    </w:p>
    <w:p w:rsidR="00654317" w:rsidRDefault="00654317" w:rsidP="00654317">
      <w:pPr>
        <w:rPr>
          <w:rFonts w:ascii="Arial" w:hAnsi="Arial" w:cs="Arial"/>
        </w:rPr>
      </w:pPr>
    </w:p>
    <w:p w:rsidR="00654317" w:rsidRDefault="00654317" w:rsidP="00654317">
      <w:pPr>
        <w:rPr>
          <w:rFonts w:ascii="Arial" w:hAnsi="Arial" w:cs="Arial"/>
        </w:rPr>
      </w:pPr>
    </w:p>
    <w:p w:rsidR="00654317" w:rsidRDefault="00654317" w:rsidP="00654317">
      <w:pPr>
        <w:rPr>
          <w:rFonts w:ascii="Arial" w:hAnsi="Arial" w:cs="Arial"/>
        </w:rPr>
      </w:pPr>
    </w:p>
    <w:p w:rsidR="00654317" w:rsidRDefault="00654317" w:rsidP="00654317">
      <w:pPr>
        <w:rPr>
          <w:rFonts w:ascii="Arial" w:hAnsi="Arial" w:cs="Arial"/>
        </w:rPr>
      </w:pPr>
    </w:p>
    <w:p w:rsidR="00654317" w:rsidRPr="00654317" w:rsidRDefault="00654317" w:rsidP="00654317">
      <w:pPr>
        <w:rPr>
          <w:rFonts w:ascii="Arial" w:hAnsi="Arial" w:cs="Arial"/>
        </w:rPr>
      </w:pPr>
    </w:p>
    <w:p w:rsidR="00E62A8C" w:rsidRPr="00E62A8C" w:rsidRDefault="00E62A8C" w:rsidP="00E62A8C">
      <w:pPr>
        <w:pStyle w:val="Prrafodelista"/>
        <w:rPr>
          <w:rFonts w:ascii="Arial" w:hAnsi="Arial" w:cs="Arial"/>
        </w:rPr>
      </w:pPr>
    </w:p>
    <w:p w:rsidR="00E62A8C" w:rsidRDefault="00E62A8C" w:rsidP="00F824FC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Hoja de trabajo</w:t>
      </w:r>
    </w:p>
    <w:p w:rsidR="00E62A8C" w:rsidRPr="00E62A8C" w:rsidRDefault="00E62A8C" w:rsidP="00E62A8C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0"/>
        <w:gridCol w:w="1034"/>
        <w:gridCol w:w="1085"/>
        <w:gridCol w:w="949"/>
        <w:gridCol w:w="954"/>
        <w:gridCol w:w="888"/>
        <w:gridCol w:w="949"/>
        <w:gridCol w:w="925"/>
        <w:gridCol w:w="987"/>
        <w:gridCol w:w="1195"/>
      </w:tblGrid>
      <w:tr w:rsidR="00BE4164" w:rsidTr="009E6A33">
        <w:tc>
          <w:tcPr>
            <w:tcW w:w="1489" w:type="dxa"/>
          </w:tcPr>
          <w:p w:rsidR="00BE4164" w:rsidRDefault="00BE4164" w:rsidP="00E62A8C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2"/>
          </w:tcPr>
          <w:p w:rsidR="00BE4164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Saldo </w:t>
            </w:r>
          </w:p>
        </w:tc>
        <w:tc>
          <w:tcPr>
            <w:tcW w:w="1955" w:type="dxa"/>
            <w:gridSpan w:val="2"/>
          </w:tcPr>
          <w:p w:rsidR="00BE4164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</w:t>
            </w:r>
          </w:p>
        </w:tc>
        <w:tc>
          <w:tcPr>
            <w:tcW w:w="978" w:type="dxa"/>
          </w:tcPr>
          <w:p w:rsidR="00BE4164" w:rsidRDefault="00BE4164" w:rsidP="00E62A8C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gridSpan w:val="2"/>
          </w:tcPr>
          <w:p w:rsidR="00BE4164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</w:t>
            </w:r>
          </w:p>
        </w:tc>
        <w:tc>
          <w:tcPr>
            <w:tcW w:w="1956" w:type="dxa"/>
            <w:gridSpan w:val="2"/>
          </w:tcPr>
          <w:p w:rsidR="00BE4164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</w:tr>
      <w:tr w:rsidR="00546F42" w:rsidTr="00C71E4E">
        <w:tc>
          <w:tcPr>
            <w:tcW w:w="1489" w:type="dxa"/>
          </w:tcPr>
          <w:p w:rsidR="00654317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</w:t>
            </w:r>
          </w:p>
        </w:tc>
        <w:tc>
          <w:tcPr>
            <w:tcW w:w="1037" w:type="dxa"/>
          </w:tcPr>
          <w:p w:rsidR="00654317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Deudor </w:t>
            </w:r>
          </w:p>
        </w:tc>
        <w:tc>
          <w:tcPr>
            <w:tcW w:w="1085" w:type="dxa"/>
          </w:tcPr>
          <w:p w:rsidR="00654317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acreedor</w:t>
            </w:r>
          </w:p>
        </w:tc>
        <w:tc>
          <w:tcPr>
            <w:tcW w:w="977" w:type="dxa"/>
          </w:tcPr>
          <w:p w:rsidR="00654317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Debe </w:t>
            </w:r>
          </w:p>
        </w:tc>
        <w:tc>
          <w:tcPr>
            <w:tcW w:w="978" w:type="dxa"/>
          </w:tcPr>
          <w:p w:rsidR="00654317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haber</w:t>
            </w: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251148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Positivo</w:t>
            </w:r>
          </w:p>
        </w:tc>
        <w:tc>
          <w:tcPr>
            <w:tcW w:w="978" w:type="dxa"/>
          </w:tcPr>
          <w:p w:rsidR="00654317" w:rsidRDefault="00251148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Negativos</w:t>
            </w:r>
          </w:p>
        </w:tc>
      </w:tr>
      <w:tr w:rsidR="00546F42" w:rsidTr="00C71E4E">
        <w:tc>
          <w:tcPr>
            <w:tcW w:w="1489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</w:t>
            </w:r>
          </w:p>
        </w:tc>
        <w:tc>
          <w:tcPr>
            <w:tcW w:w="1037" w:type="dxa"/>
          </w:tcPr>
          <w:p w:rsidR="00654317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20.918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 universal </w:t>
            </w:r>
            <w:proofErr w:type="spellStart"/>
            <w:r>
              <w:rPr>
                <w:rFonts w:ascii="Arial" w:hAnsi="Arial" w:cs="Arial"/>
              </w:rPr>
              <w:t>cta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cte</w:t>
            </w:r>
            <w:proofErr w:type="spellEnd"/>
          </w:p>
        </w:tc>
        <w:tc>
          <w:tcPr>
            <w:tcW w:w="1037" w:type="dxa"/>
          </w:tcPr>
          <w:p w:rsidR="00654317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Deudores por ventas</w:t>
            </w:r>
          </w:p>
        </w:tc>
        <w:tc>
          <w:tcPr>
            <w:tcW w:w="1037" w:type="dxa"/>
          </w:tcPr>
          <w:p w:rsidR="00654317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82.242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 a cobrar</w:t>
            </w:r>
          </w:p>
        </w:tc>
        <w:tc>
          <w:tcPr>
            <w:tcW w:w="1037" w:type="dxa"/>
          </w:tcPr>
          <w:p w:rsidR="00654317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 endosados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BE4164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Mercaderías</w:t>
            </w:r>
          </w:p>
        </w:tc>
        <w:tc>
          <w:tcPr>
            <w:tcW w:w="1037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96.742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50094B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Muebles y útiles</w:t>
            </w:r>
          </w:p>
        </w:tc>
        <w:tc>
          <w:tcPr>
            <w:tcW w:w="1037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29.800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Rodados</w:t>
            </w:r>
          </w:p>
        </w:tc>
        <w:tc>
          <w:tcPr>
            <w:tcW w:w="1037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Inmuebles</w:t>
            </w:r>
          </w:p>
        </w:tc>
        <w:tc>
          <w:tcPr>
            <w:tcW w:w="1037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240.000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50094B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Proveedores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48.572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C845D9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Amortización acumulada muebles y útiles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29.000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C845D9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Amortización acumulada rodados 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C845D9" w:rsidRDefault="00C845D9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Amortización acumulada inmuebles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30.000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C845D9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320.000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C845D9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Ventas</w:t>
            </w:r>
          </w:p>
        </w:tc>
        <w:tc>
          <w:tcPr>
            <w:tcW w:w="103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1085" w:type="dxa"/>
          </w:tcPr>
          <w:p w:rsidR="00654317" w:rsidRDefault="00546F42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122.428</w:t>
            </w: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FA193C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Impuestos /ingresos brutos</w:t>
            </w:r>
          </w:p>
        </w:tc>
        <w:tc>
          <w:tcPr>
            <w:tcW w:w="1037" w:type="dxa"/>
          </w:tcPr>
          <w:p w:rsidR="00654317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3673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Combustible y lubricantes </w:t>
            </w:r>
          </w:p>
        </w:tc>
        <w:tc>
          <w:tcPr>
            <w:tcW w:w="1037" w:type="dxa"/>
          </w:tcPr>
          <w:p w:rsidR="00654317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15.320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546F42" w:rsidTr="00C71E4E">
        <w:tc>
          <w:tcPr>
            <w:tcW w:w="1489" w:type="dxa"/>
          </w:tcPr>
          <w:p w:rsidR="00654317" w:rsidRDefault="00FA193C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Gastos </w:t>
            </w:r>
            <w:r w:rsidR="00C71E4E">
              <w:rPr>
                <w:rFonts w:ascii="Arial" w:hAnsi="Arial" w:cs="Arial"/>
              </w:rPr>
              <w:t xml:space="preserve">bancarios </w:t>
            </w:r>
          </w:p>
        </w:tc>
        <w:tc>
          <w:tcPr>
            <w:tcW w:w="1037" w:type="dxa"/>
          </w:tcPr>
          <w:p w:rsidR="00654317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3578</w:t>
            </w:r>
          </w:p>
        </w:tc>
        <w:tc>
          <w:tcPr>
            <w:tcW w:w="1085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54317" w:rsidRDefault="00654317" w:rsidP="00E62A8C">
            <w:pPr>
              <w:rPr>
                <w:rFonts w:ascii="Arial" w:hAnsi="Arial" w:cs="Arial"/>
              </w:rPr>
            </w:pPr>
          </w:p>
        </w:tc>
      </w:tr>
      <w:tr w:rsidR="00251148" w:rsidTr="00C71E4E">
        <w:tc>
          <w:tcPr>
            <w:tcW w:w="1489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Papelería y útiles </w:t>
            </w:r>
          </w:p>
        </w:tc>
        <w:tc>
          <w:tcPr>
            <w:tcW w:w="1037" w:type="dxa"/>
          </w:tcPr>
          <w:p w:rsidR="00C71E4E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8793</w:t>
            </w:r>
          </w:p>
        </w:tc>
        <w:tc>
          <w:tcPr>
            <w:tcW w:w="1085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</w:tr>
      <w:tr w:rsidR="00251148" w:rsidTr="00C71E4E">
        <w:tc>
          <w:tcPr>
            <w:tcW w:w="1489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Repuestos y reparaciones</w:t>
            </w:r>
          </w:p>
        </w:tc>
        <w:tc>
          <w:tcPr>
            <w:tcW w:w="1037" w:type="dxa"/>
          </w:tcPr>
          <w:p w:rsidR="00C71E4E" w:rsidRDefault="00684893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16.684</w:t>
            </w:r>
          </w:p>
        </w:tc>
        <w:tc>
          <w:tcPr>
            <w:tcW w:w="1085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C71E4E" w:rsidRDefault="00C71E4E" w:rsidP="00E62A8C">
            <w:pPr>
              <w:rPr>
                <w:rFonts w:ascii="Arial" w:hAnsi="Arial" w:cs="Arial"/>
              </w:rPr>
            </w:pPr>
          </w:p>
        </w:tc>
      </w:tr>
      <w:tr w:rsidR="00251148" w:rsidTr="00C71E4E">
        <w:tc>
          <w:tcPr>
            <w:tcW w:w="1489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</w:tcPr>
          <w:p w:rsidR="00251148" w:rsidRDefault="008C7726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600.000</w:t>
            </w:r>
          </w:p>
        </w:tc>
        <w:tc>
          <w:tcPr>
            <w:tcW w:w="1085" w:type="dxa"/>
          </w:tcPr>
          <w:p w:rsidR="00251148" w:rsidRDefault="008C7726" w:rsidP="00E62A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600.000</w:t>
            </w:r>
            <w:bookmarkStart w:id="0" w:name="_GoBack"/>
            <w:bookmarkEnd w:id="0"/>
          </w:p>
        </w:tc>
        <w:tc>
          <w:tcPr>
            <w:tcW w:w="977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251148" w:rsidRDefault="00251148" w:rsidP="00E62A8C">
            <w:pPr>
              <w:rPr>
                <w:rFonts w:ascii="Arial" w:hAnsi="Arial" w:cs="Arial"/>
              </w:rPr>
            </w:pPr>
          </w:p>
        </w:tc>
      </w:tr>
    </w:tbl>
    <w:p w:rsidR="00E62A8C" w:rsidRPr="00E62A8C" w:rsidRDefault="00E62A8C" w:rsidP="00E62A8C">
      <w:pPr>
        <w:rPr>
          <w:rFonts w:ascii="Arial" w:hAnsi="Arial" w:cs="Arial"/>
        </w:rPr>
      </w:pPr>
    </w:p>
    <w:p w:rsidR="00E62A8C" w:rsidRDefault="00E62A8C" w:rsidP="00E62A8C">
      <w:pPr>
        <w:pStyle w:val="Prrafodelista"/>
        <w:rPr>
          <w:rFonts w:ascii="Arial" w:hAnsi="Arial" w:cs="Arial"/>
        </w:rPr>
      </w:pPr>
    </w:p>
    <w:p w:rsidR="00E62A8C" w:rsidRPr="00E62A8C" w:rsidRDefault="00E62A8C" w:rsidP="00E62A8C">
      <w:pPr>
        <w:rPr>
          <w:rFonts w:ascii="Arial" w:hAnsi="Arial" w:cs="Arial"/>
        </w:rPr>
      </w:pPr>
    </w:p>
    <w:p w:rsidR="00C92EAD" w:rsidRPr="00C92EAD" w:rsidRDefault="00C92EAD" w:rsidP="00C92EAD">
      <w:pPr>
        <w:rPr>
          <w:rFonts w:ascii="Arial" w:hAnsi="Arial" w:cs="Arial"/>
        </w:rPr>
      </w:pPr>
    </w:p>
    <w:sectPr w:rsidR="00C92EAD" w:rsidRPr="00C92EAD" w:rsidSect="00D72C3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8D" w:rsidRDefault="0058538D" w:rsidP="00D72C36">
      <w:pPr>
        <w:spacing w:after="0" w:line="240" w:lineRule="auto"/>
      </w:pPr>
      <w:r>
        <w:separator/>
      </w:r>
    </w:p>
  </w:endnote>
  <w:endnote w:type="continuationSeparator" w:id="0">
    <w:p w:rsidR="0058538D" w:rsidRDefault="0058538D" w:rsidP="00D7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8D" w:rsidRDefault="0058538D" w:rsidP="00D72C36">
      <w:pPr>
        <w:spacing w:after="0" w:line="240" w:lineRule="auto"/>
      </w:pPr>
      <w:r>
        <w:separator/>
      </w:r>
    </w:p>
  </w:footnote>
  <w:footnote w:type="continuationSeparator" w:id="0">
    <w:p w:rsidR="0058538D" w:rsidRDefault="0058538D" w:rsidP="00D72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36" w:rsidRDefault="00F94861" w:rsidP="009B2866">
    <w:pPr>
      <w:pStyle w:val="Encabezado"/>
      <w:rPr>
        <w:rFonts w:ascii="Arial" w:hAnsi="Arial" w:cs="Arial"/>
      </w:rPr>
    </w:pPr>
    <w:r w:rsidRPr="00F94861">
      <w:rPr>
        <w:rFonts w:ascii="Arial" w:hAnsi="Arial" w:cs="Arial"/>
      </w:rPr>
      <w:t>FINAL DE CONTABILIDAD BASICA</w:t>
    </w:r>
  </w:p>
  <w:p w:rsidR="00F94861" w:rsidRPr="00F94861" w:rsidRDefault="00F94861" w:rsidP="00F94861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</w:rPr>
      <w:t>GOENAGA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0B87"/>
    <w:multiLevelType w:val="hybridMultilevel"/>
    <w:tmpl w:val="D0306A0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62FF2"/>
    <w:multiLevelType w:val="hybridMultilevel"/>
    <w:tmpl w:val="344CA5C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86EB9"/>
    <w:multiLevelType w:val="hybridMultilevel"/>
    <w:tmpl w:val="0B9E185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2445A"/>
    <w:multiLevelType w:val="hybridMultilevel"/>
    <w:tmpl w:val="EBD849D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A3361"/>
    <w:multiLevelType w:val="hybridMultilevel"/>
    <w:tmpl w:val="E2743EDA"/>
    <w:lvl w:ilvl="0" w:tplc="CA6E731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36"/>
    <w:rsid w:val="000E1553"/>
    <w:rsid w:val="00251148"/>
    <w:rsid w:val="003E1278"/>
    <w:rsid w:val="004A2B23"/>
    <w:rsid w:val="0050094B"/>
    <w:rsid w:val="00504265"/>
    <w:rsid w:val="00507DB4"/>
    <w:rsid w:val="00546F42"/>
    <w:rsid w:val="00582CF9"/>
    <w:rsid w:val="0058538D"/>
    <w:rsid w:val="0063091F"/>
    <w:rsid w:val="00654317"/>
    <w:rsid w:val="00656565"/>
    <w:rsid w:val="00684893"/>
    <w:rsid w:val="006A7A11"/>
    <w:rsid w:val="007814AF"/>
    <w:rsid w:val="00846A75"/>
    <w:rsid w:val="008C7726"/>
    <w:rsid w:val="009179E7"/>
    <w:rsid w:val="009450EE"/>
    <w:rsid w:val="009B2866"/>
    <w:rsid w:val="00AA43CA"/>
    <w:rsid w:val="00AE164B"/>
    <w:rsid w:val="00B30C9C"/>
    <w:rsid w:val="00BE4164"/>
    <w:rsid w:val="00C71E4E"/>
    <w:rsid w:val="00C845D9"/>
    <w:rsid w:val="00C92EAD"/>
    <w:rsid w:val="00D72C36"/>
    <w:rsid w:val="00E17114"/>
    <w:rsid w:val="00E62A8C"/>
    <w:rsid w:val="00EB4EEE"/>
    <w:rsid w:val="00F824FC"/>
    <w:rsid w:val="00F92AF4"/>
    <w:rsid w:val="00F94861"/>
    <w:rsid w:val="00FA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CA469-0CEF-402D-8CEB-61E4FF3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C36"/>
  </w:style>
  <w:style w:type="paragraph" w:styleId="Piedepgina">
    <w:name w:val="footer"/>
    <w:basedOn w:val="Normal"/>
    <w:link w:val="PiedepginaCar"/>
    <w:uiPriority w:val="99"/>
    <w:unhideWhenUsed/>
    <w:rsid w:val="00D72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C36"/>
  </w:style>
  <w:style w:type="paragraph" w:styleId="Prrafodelista">
    <w:name w:val="List Paragraph"/>
    <w:basedOn w:val="Normal"/>
    <w:uiPriority w:val="34"/>
    <w:qFormat/>
    <w:rsid w:val="009B28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B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2024-06-07T12:49:00Z</dcterms:created>
  <dcterms:modified xsi:type="dcterms:W3CDTF">2024-06-07T23:57:00Z</dcterms:modified>
</cp:coreProperties>
</file>